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ascii="Arial" w:hAnsi="Arial" w:cs="Arial"/>
        </w:rPr>
      </w:pPr>
      <w:bookmarkStart w:id="0" w:name="OLE_LINK24"/>
      <w:bookmarkStart w:id="1" w:name="OLE_LINK12"/>
      <w:bookmarkStart w:id="2" w:name="OLE_LINK13"/>
      <w:bookmarkStart w:id="3" w:name="OLE_LINK34"/>
      <w:bookmarkStart w:id="4" w:name="OLE_LINK33"/>
      <w:r>
        <w:rPr>
          <w:rFonts w:ascii="Arial" w:hAnsi="Arial" w:cs="Arial"/>
          <w:b/>
        </w:rPr>
        <w:t>3GPP TSG RAN WG1 #109-e                                               R1-</w:t>
      </w:r>
      <w:r>
        <w:rPr>
          <w:rFonts w:hint="eastAsia" w:ascii="Arial" w:hAnsi="Arial" w:cs="Arial"/>
          <w:b/>
        </w:rPr>
        <w:t>2203625</w:t>
      </w:r>
    </w:p>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ascii="Arial" w:hAnsi="Arial" w:cs="Arial"/>
          <w:b/>
        </w:rPr>
        <w:t>e-Meeting, May 9</w:t>
      </w:r>
      <w:r>
        <w:rPr>
          <w:rFonts w:ascii="Arial" w:hAnsi="Arial" w:cs="Arial"/>
          <w:b/>
          <w:vertAlign w:val="superscript"/>
        </w:rPr>
        <w:t>th</w:t>
      </w:r>
      <w:r>
        <w:rPr>
          <w:rFonts w:ascii="Arial" w:hAnsi="Arial" w:cs="Arial"/>
          <w:b/>
        </w:rPr>
        <w:t xml:space="preserve"> – 20</w:t>
      </w:r>
      <w:r>
        <w:rPr>
          <w:rFonts w:ascii="Arial" w:hAnsi="Arial" w:cs="Arial"/>
          <w:b/>
          <w:vertAlign w:val="superscript"/>
        </w:rPr>
        <w:t>th</w:t>
      </w:r>
      <w:r>
        <w:rPr>
          <w:rFonts w:ascii="Arial" w:hAnsi="Arial" w:cs="Arial"/>
          <w:b/>
        </w:rPr>
        <w:t>, 2022</w:t>
      </w: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1988" w:right="2" w:hanging="1988" w:hangingChars="900"/>
        <w:jc w:val="both"/>
        <w:rPr>
          <w:rFonts w:ascii="Arial" w:hAnsi="Arial" w:eastAsia="宋体" w:cs="Arial"/>
          <w:b/>
        </w:rPr>
      </w:pPr>
      <w:r>
        <w:rPr>
          <w:rFonts w:ascii="Arial" w:hAnsi="Arial" w:eastAsia="宋体" w:cs="Arial"/>
          <w:b/>
        </w:rPr>
        <w:t>Title:            Discussion on integrity of RAT dependent positioning</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 xml:space="preserve">Agenda item:    9.5.2.1 </w:t>
      </w:r>
    </w:p>
    <w:bookmarkEnd w:id="1"/>
    <w:bookmarkEnd w:id="2"/>
    <w:bookmarkEnd w:id="3"/>
    <w:bookmarkEnd w:id="4"/>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snapToGrid w:val="0"/>
        <w:spacing w:before="120" w:after="180" w:afterLines="50"/>
        <w:ind w:left="431" w:hanging="431"/>
        <w:jc w:val="both"/>
        <w:rPr>
          <w:sz w:val="28"/>
          <w:lang w:val="en-US"/>
        </w:rPr>
      </w:pPr>
      <w:bookmarkStart w:id="5" w:name="OLE_LINK1"/>
      <w:r>
        <w:rPr>
          <w:sz w:val="28"/>
          <w:lang w:val="en-US"/>
        </w:rPr>
        <w:t>Introduction</w:t>
      </w:r>
    </w:p>
    <w:p>
      <w:pPr>
        <w:snapToGrid w:val="0"/>
        <w:spacing w:before="180" w:beforeLines="50" w:after="180" w:afterLines="50" w:line="240" w:lineRule="auto"/>
        <w:rPr>
          <w:rFonts w:ascii="Times New Roman" w:hAnsi="Times New Roman"/>
          <w:iCs/>
          <w:sz w:val="20"/>
          <w:szCs w:val="20"/>
        </w:rPr>
      </w:pPr>
      <w:r>
        <w:rPr>
          <w:rFonts w:ascii="Times New Roman" w:hAnsi="Times New Roman"/>
          <w:iCs/>
          <w:sz w:val="20"/>
          <w:szCs w:val="20"/>
        </w:rPr>
        <w:t xml:space="preserve">In RAN#94e meeting, a SID for study on expanded and improved NR positioning was approved for Rel-18 where one item is to study </w:t>
      </w:r>
      <w:r>
        <w:rPr>
          <w:rFonts w:ascii="Times New Roman" w:hAnsi="Times New Roman"/>
          <w:bCs/>
          <w:sz w:val="20"/>
          <w:szCs w:val="20"/>
        </w:rPr>
        <w:t>integrity for RAT dependent positioning techniques</w:t>
      </w:r>
      <w:r>
        <w:rPr>
          <w:rFonts w:ascii="Times New Roman" w:hAnsi="Times New Roman"/>
          <w:iCs/>
          <w:sz w:val="20"/>
          <w:szCs w:val="20"/>
        </w:rPr>
        <w:t xml:space="preserve"> as follows [1].</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21" w:hRule="atLeast"/>
        </w:trPr>
        <w:tc>
          <w:tcPr>
            <w:tcW w:w="9302" w:type="dxa"/>
          </w:tcPr>
          <w:p>
            <w:pPr>
              <w:numPr>
                <w:ilvl w:val="0"/>
                <w:numId w:val="3"/>
              </w:numPr>
              <w:overflowPunct w:val="0"/>
              <w:autoSpaceDE w:val="0"/>
              <w:autoSpaceDN w:val="0"/>
              <w:adjustRightInd w:val="0"/>
              <w:snapToGrid w:val="0"/>
              <w:spacing w:after="0" w:line="240" w:lineRule="auto"/>
              <w:textAlignment w:val="baseline"/>
              <w:rPr>
                <w:rFonts w:ascii="Times New Roman" w:hAnsi="Times New Roman"/>
                <w:bCs/>
                <w:sz w:val="20"/>
                <w:szCs w:val="20"/>
              </w:rPr>
            </w:pPr>
            <w:r>
              <w:rPr>
                <w:rFonts w:ascii="Times New Roman" w:hAnsi="Times New Roman"/>
                <w:bCs/>
                <w:sz w:val="20"/>
                <w:szCs w:val="20"/>
              </w:rPr>
              <w:t>Improved accuracy, integrity, and power efficiency:</w:t>
            </w:r>
          </w:p>
          <w:p>
            <w:pPr>
              <w:numPr>
                <w:ilvl w:val="1"/>
                <w:numId w:val="3"/>
              </w:numPr>
              <w:tabs>
                <w:tab w:val="left" w:pos="840"/>
              </w:tabs>
              <w:overflowPunct w:val="0"/>
              <w:autoSpaceDE w:val="0"/>
              <w:autoSpaceDN w:val="0"/>
              <w:adjustRightInd w:val="0"/>
              <w:snapToGrid w:val="0"/>
              <w:spacing w:after="0" w:line="240" w:lineRule="auto"/>
              <w:textAlignment w:val="baseline"/>
              <w:rPr>
                <w:rFonts w:ascii="Times New Roman" w:hAnsi="Times New Roman"/>
                <w:bCs/>
                <w:sz w:val="20"/>
                <w:szCs w:val="20"/>
              </w:rPr>
            </w:pPr>
            <w:r>
              <w:rPr>
                <w:rFonts w:ascii="Times New Roman" w:hAnsi="Times New Roman"/>
                <w:bCs/>
                <w:sz w:val="20"/>
                <w:szCs w:val="20"/>
              </w:rPr>
              <w:t>Study solutions for Integrity for RAT dependent positioning techniques [RAN2, RAN1]:</w:t>
            </w:r>
          </w:p>
          <w:p>
            <w:pPr>
              <w:numPr>
                <w:ilvl w:val="2"/>
                <w:numId w:val="3"/>
              </w:numPr>
              <w:tabs>
                <w:tab w:val="left" w:pos="1260"/>
              </w:tabs>
              <w:overflowPunct w:val="0"/>
              <w:autoSpaceDE w:val="0"/>
              <w:autoSpaceDN w:val="0"/>
              <w:adjustRightInd w:val="0"/>
              <w:snapToGrid w:val="0"/>
              <w:spacing w:after="0" w:line="240" w:lineRule="auto"/>
              <w:textAlignment w:val="baseline"/>
              <w:rPr>
                <w:rFonts w:ascii="Times New Roman" w:hAnsi="Times New Roman"/>
                <w:bCs/>
                <w:sz w:val="20"/>
                <w:szCs w:val="20"/>
              </w:rPr>
            </w:pPr>
            <w:r>
              <w:rPr>
                <w:rFonts w:ascii="Times New Roman" w:hAnsi="Times New Roman"/>
                <w:bCs/>
                <w:sz w:val="20"/>
                <w:szCs w:val="20"/>
              </w:rPr>
              <w:t>Identify the error sources, [RAN1, RAN2].</w:t>
            </w:r>
          </w:p>
          <w:p>
            <w:pPr>
              <w:numPr>
                <w:ilvl w:val="2"/>
                <w:numId w:val="3"/>
              </w:numPr>
              <w:tabs>
                <w:tab w:val="left" w:pos="1260"/>
              </w:tabs>
              <w:overflowPunct w:val="0"/>
              <w:autoSpaceDE w:val="0"/>
              <w:autoSpaceDN w:val="0"/>
              <w:adjustRightInd w:val="0"/>
              <w:snapToGrid w:val="0"/>
              <w:spacing w:after="0" w:line="240" w:lineRule="auto"/>
              <w:textAlignment w:val="baseline"/>
              <w:rPr>
                <w:rFonts w:ascii="Times New Roman" w:hAnsi="Times New Roman"/>
                <w:bCs/>
                <w:sz w:val="20"/>
                <w:szCs w:val="20"/>
              </w:rPr>
            </w:pPr>
            <w:r>
              <w:rPr>
                <w:rFonts w:ascii="Times New Roman" w:hAnsi="Times New Roman"/>
                <w:bCs/>
                <w:sz w:val="20"/>
                <w:szCs w:val="20"/>
              </w:rPr>
              <w:t>Study methodologies, procedures, signalling, etc for determination of positioning integrity for both UE-based and UE-assisted positioning [RAN2]</w:t>
            </w:r>
          </w:p>
          <w:p>
            <w:pPr>
              <w:numPr>
                <w:ilvl w:val="2"/>
                <w:numId w:val="3"/>
              </w:numPr>
              <w:overflowPunct w:val="0"/>
              <w:autoSpaceDE w:val="0"/>
              <w:autoSpaceDN w:val="0"/>
              <w:adjustRightInd w:val="0"/>
              <w:snapToGrid w:val="0"/>
              <w:spacing w:after="0" w:line="240" w:lineRule="auto"/>
              <w:textAlignment w:val="baseline"/>
              <w:rPr>
                <w:bCs/>
              </w:rPr>
            </w:pPr>
            <w:r>
              <w:rPr>
                <w:rFonts w:ascii="Times New Roman" w:hAnsi="Times New Roman"/>
                <w:bCs/>
                <w:sz w:val="20"/>
                <w:szCs w:val="20"/>
              </w:rPr>
              <w:t>Focus on reuse of concepts and principles being developed for RAT-Independent GNSS positioning integrity, where possible.</w:t>
            </w:r>
          </w:p>
        </w:tc>
      </w:tr>
    </w:tbl>
    <w:p>
      <w:pPr>
        <w:adjustRightInd w:val="0"/>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In</w:t>
      </w:r>
      <w:r>
        <w:rPr>
          <w:rFonts w:hint="eastAsia" w:ascii="Times New Roman" w:hAnsi="Times New Roman"/>
          <w:iCs/>
          <w:sz w:val="20"/>
          <w:szCs w:val="20"/>
        </w:rPr>
        <w:t xml:space="preserve"> this contribution, we </w:t>
      </w:r>
      <w:r>
        <w:rPr>
          <w:rFonts w:ascii="Times New Roman" w:hAnsi="Times New Roman"/>
          <w:iCs/>
          <w:sz w:val="20"/>
          <w:szCs w:val="20"/>
        </w:rPr>
        <w:t>provide</w:t>
      </w:r>
      <w:r>
        <w:rPr>
          <w:rFonts w:hint="eastAsia" w:ascii="Times New Roman" w:hAnsi="Times New Roman"/>
          <w:iCs/>
          <w:sz w:val="20"/>
          <w:szCs w:val="20"/>
        </w:rPr>
        <w:t xml:space="preserve"> our views on </w:t>
      </w:r>
      <w:r>
        <w:rPr>
          <w:rFonts w:ascii="Times New Roman" w:hAnsi="Times New Roman"/>
          <w:iCs/>
          <w:sz w:val="20"/>
          <w:szCs w:val="20"/>
        </w:rPr>
        <w:t>this integrity issue for RAT dependent positioning techniques from RAN1 perspective</w:t>
      </w:r>
      <w:r>
        <w:rPr>
          <w:rFonts w:hint="eastAsia" w:ascii="Times New Roman" w:hAnsi="Times New Roman"/>
          <w:iCs/>
          <w:sz w:val="20"/>
          <w:szCs w:val="20"/>
        </w:rPr>
        <w:t>.</w:t>
      </w:r>
    </w:p>
    <w:bookmarkEnd w:id="5"/>
    <w:p>
      <w:pPr>
        <w:pStyle w:val="2"/>
        <w:snapToGrid w:val="0"/>
        <w:spacing w:before="120" w:after="180" w:afterLines="50"/>
        <w:ind w:left="431" w:hanging="431"/>
        <w:jc w:val="both"/>
        <w:rPr>
          <w:sz w:val="28"/>
          <w:lang w:val="en-US"/>
        </w:rPr>
      </w:pPr>
      <w:r>
        <w:rPr>
          <w:sz w:val="28"/>
          <w:lang w:val="en-US"/>
        </w:rPr>
        <w:t>Discussion</w:t>
      </w:r>
    </w:p>
    <w:p>
      <w:pPr>
        <w:pStyle w:val="3"/>
        <w:snapToGrid w:val="0"/>
        <w:spacing w:line="240" w:lineRule="auto"/>
        <w:rPr>
          <w:sz w:val="24"/>
          <w:szCs w:val="24"/>
        </w:rPr>
      </w:pPr>
      <w:r>
        <w:rPr>
          <w:sz w:val="24"/>
          <w:szCs w:val="24"/>
        </w:rPr>
        <w:t>2.1 Background</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In Rel-17 study item, positioning integrity for GNSS was studied, and described from multiple aspects including integrity concepts, use cases, error categories, methods in 38.857 [2]. Some concepts are introduced as follows</w:t>
      </w:r>
    </w:p>
    <w:p>
      <w:pPr>
        <w:snapToGrid w:val="0"/>
        <w:spacing w:before="50" w:after="50" w:line="240" w:lineRule="auto"/>
        <w:rPr>
          <w:rFonts w:ascii="Times New Roman" w:hAnsi="Times New Roman" w:eastAsia="宋体"/>
          <w:b/>
          <w:sz w:val="20"/>
          <w:szCs w:val="20"/>
        </w:rPr>
      </w:pPr>
      <w:r>
        <w:rPr>
          <w:rFonts w:ascii="Times New Roman" w:hAnsi="Times New Roman" w:eastAsia="宋体"/>
          <w:b/>
          <w:sz w:val="20"/>
          <w:szCs w:val="20"/>
        </w:rPr>
        <w:t>Integrity Concepts: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b/>
                <w:sz w:val="20"/>
                <w:szCs w:val="20"/>
              </w:rPr>
              <w:t>Positioning Integrity:</w:t>
            </w:r>
            <w:r>
              <w:rPr>
                <w:rFonts w:ascii="Times New Roman" w:hAnsi="Times New Roman" w:eastAsia="宋体"/>
                <w:sz w:val="20"/>
                <w:szCs w:val="20"/>
              </w:rPr>
              <w:t xml:space="preserve"> A measure of the trust in the accuracy of the position-related data provided by the positioning system and the ability to provide timely and valid warnings to the LCS client when the positioning system does not fulfil the condition for intended operation</w:t>
            </w:r>
          </w:p>
        </w:tc>
      </w:tr>
    </w:tbl>
    <w:p>
      <w:pPr>
        <w:snapToGrid w:val="0"/>
        <w:spacing w:before="50" w:after="50" w:line="240" w:lineRule="auto"/>
        <w:rPr>
          <w:rFonts w:ascii="Times New Roman" w:hAnsi="Times New Roman" w:eastAsia="宋体"/>
          <w:b/>
          <w:sz w:val="20"/>
          <w:szCs w:val="20"/>
        </w:rPr>
      </w:pPr>
    </w:p>
    <w:p>
      <w:pPr>
        <w:snapToGrid w:val="0"/>
        <w:spacing w:before="50" w:after="50" w:line="240" w:lineRule="auto"/>
        <w:rPr>
          <w:rFonts w:ascii="Times New Roman" w:hAnsi="Times New Roman" w:eastAsia="宋体"/>
          <w:b/>
          <w:sz w:val="20"/>
          <w:szCs w:val="20"/>
        </w:rPr>
      </w:pPr>
      <w:r>
        <w:rPr>
          <w:rFonts w:ascii="Times New Roman" w:hAnsi="Times New Roman" w:eastAsia="宋体"/>
          <w:b/>
          <w:sz w:val="20"/>
          <w:szCs w:val="20"/>
        </w:rPr>
        <w:t>KPIs: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b/>
                <w:bCs/>
                <w:sz w:val="20"/>
                <w:szCs w:val="20"/>
              </w:rPr>
              <w:t>Target Integrity Risk (TIR):</w:t>
            </w:r>
            <w:r>
              <w:rPr>
                <w:rFonts w:ascii="Times New Roman" w:hAnsi="Times New Roman"/>
                <w:sz w:val="20"/>
                <w:szCs w:val="20"/>
              </w:rPr>
              <w:t xml:space="preserve"> The probability that the positioning error exceeds the Alert Limit (AL) without warning the user within the required Time-to-Alert (TTA).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b/>
                <w:bCs/>
                <w:sz w:val="20"/>
                <w:szCs w:val="20"/>
              </w:rPr>
              <w:t>Alert Limit (AL):</w:t>
            </w:r>
            <w:r>
              <w:rPr>
                <w:rFonts w:ascii="Times New Roman" w:hAnsi="Times New Roman"/>
                <w:sz w:val="20"/>
                <w:szCs w:val="20"/>
              </w:rPr>
              <w:t xml:space="preserve"> The maximum allowable positioning error such that the positioning system is available for the intended application. If the positioning error is beyond the AL, the positioning system should be declared unavailable for the intended application to prevent loss of positioning integrity.</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b/>
                <w:bCs/>
                <w:sz w:val="20"/>
                <w:szCs w:val="20"/>
              </w:rPr>
              <w:t>Time-to-Alert (TTA):</w:t>
            </w:r>
            <w:r>
              <w:rPr>
                <w:rFonts w:ascii="Times New Roman" w:hAnsi="Times New Roman"/>
                <w:sz w:val="20"/>
                <w:szCs w:val="20"/>
              </w:rPr>
              <w:t xml:space="preserve"> The maximum allowable elapsed time from when the positioning error exceeds the Alert Limit (AL) until the function providing positioning integrity annunciates a corresponding alert.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b/>
                <w:bCs/>
                <w:sz w:val="20"/>
                <w:szCs w:val="20"/>
              </w:rPr>
              <w:t>Integrity Availability:</w:t>
            </w:r>
            <w:r>
              <w:rPr>
                <w:rFonts w:ascii="Times New Roman" w:hAnsi="Times New Roman"/>
                <w:sz w:val="20"/>
                <w:szCs w:val="20"/>
              </w:rPr>
              <w:t xml:space="preserve"> The integrity availability is the percentage of time that the PL is below the required AL</w:t>
            </w:r>
          </w:p>
        </w:tc>
      </w:tr>
    </w:tbl>
    <w:p>
      <w:pPr>
        <w:snapToGrid w:val="0"/>
        <w:spacing w:before="50" w:after="50" w:line="240" w:lineRule="auto"/>
        <w:rPr>
          <w:rFonts w:ascii="Times New Roman" w:hAnsi="Times New Roman" w:eastAsia="宋体"/>
          <w:sz w:val="20"/>
          <w:szCs w:val="20"/>
        </w:rPr>
      </w:pPr>
    </w:p>
    <w:p>
      <w:pPr>
        <w:snapToGrid w:val="0"/>
        <w:spacing w:before="50" w:after="50" w:line="240" w:lineRule="auto"/>
        <w:rPr>
          <w:rFonts w:ascii="Times New Roman" w:hAnsi="Times New Roman" w:eastAsia="宋体"/>
          <w:b/>
          <w:sz w:val="20"/>
          <w:szCs w:val="20"/>
        </w:rPr>
      </w:pPr>
      <w:r>
        <w:rPr>
          <w:rFonts w:ascii="Times New Roman" w:hAnsi="Times New Roman" w:eastAsia="宋体"/>
          <w:b/>
          <w:sz w:val="20"/>
          <w:szCs w:val="20"/>
        </w:rPr>
        <w:t xml:space="preserve">Protection Level (PL):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before="180" w:beforeLines="50" w:after="180" w:afterLines="50" w:line="240" w:lineRule="auto"/>
              <w:rPr>
                <w:rFonts w:ascii="Times New Roman" w:hAnsi="Times New Roman" w:eastAsia="宋体"/>
                <w:sz w:val="20"/>
                <w:szCs w:val="20"/>
              </w:rPr>
            </w:pPr>
            <w:r>
              <w:rPr>
                <w:rFonts w:ascii="Times New Roman" w:hAnsi="Times New Roman"/>
                <w:b/>
                <w:bCs/>
                <w:sz w:val="20"/>
                <w:szCs w:val="20"/>
              </w:rPr>
              <w:t>Protection Level:</w:t>
            </w:r>
            <w:r>
              <w:rPr>
                <w:rFonts w:ascii="Times New Roman" w:hAnsi="Times New Roman"/>
                <w:sz w:val="20"/>
                <w:szCs w:val="20"/>
              </w:rPr>
              <w:t xml:space="preserve"> The PL is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w:t>
            </w:r>
          </w:p>
          <w:p>
            <w:pPr>
              <w:snapToGrid w:val="0"/>
              <w:spacing w:before="180" w:beforeLines="50" w:after="180" w:afterLines="50" w:line="240" w:lineRule="auto"/>
              <w:ind w:firstLine="720"/>
              <w:rPr>
                <w:rFonts w:ascii="Times New Roman" w:hAnsi="Times New Roman"/>
                <w:b/>
                <w:bCs/>
                <w:sz w:val="20"/>
                <w:szCs w:val="20"/>
              </w:rPr>
            </w:pPr>
            <w:r>
              <w:rPr>
                <w:rFonts w:ascii="Times New Roman" w:hAnsi="Times New Roman"/>
                <w:b/>
                <w:bCs/>
                <w:sz w:val="20"/>
                <w:szCs w:val="20"/>
              </w:rPr>
              <w:t>Prob per unit of time [((PE&gt; AL) &amp; (PL&lt;=AL)) for longer than TTA] &lt; required TIR</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Basically, positioning integrity is to determine whether the positioning function satisfies positioning integrity, i.e. whether PL is larger than AL</w:t>
      </w:r>
    </w:p>
    <w:p>
      <w:pPr>
        <w:widowControl w:val="0"/>
        <w:numPr>
          <w:ilvl w:val="0"/>
          <w:numId w:val="4"/>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PL is a calculated value by the integrity computing entity (UE or LMF), and how to calculate PL depends on statistic error models of the related error sources in the assistance data. </w:t>
      </w:r>
    </w:p>
    <w:p>
      <w:pPr>
        <w:widowControl w:val="0"/>
        <w:numPr>
          <w:ilvl w:val="0"/>
          <w:numId w:val="4"/>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AL is one of a KPI generated at LCS client side. </w:t>
      </w:r>
    </w:p>
    <w:p>
      <w:pPr>
        <w:snapToGrid w:val="0"/>
        <w:spacing w:before="50" w:after="50" w:line="240" w:lineRule="auto"/>
        <w:jc w:val="center"/>
        <w:rPr>
          <w:rFonts w:ascii="Times New Roman" w:hAnsi="Times New Roman"/>
          <w:sz w:val="20"/>
          <w:szCs w:val="20"/>
        </w:rPr>
      </w:pPr>
      <w:r>
        <w:rPr>
          <w:rFonts w:ascii="Times New Roman" w:hAnsi="Times New Roman"/>
          <w:sz w:val="20"/>
          <w:szCs w:val="20"/>
        </w:rPr>
        <w:drawing>
          <wp:inline distT="0" distB="0" distL="0" distR="0">
            <wp:extent cx="1823720" cy="1913255"/>
            <wp:effectExtent l="0" t="0" r="5080" b="10795"/>
            <wp:docPr id="7" name="Picture 7" descr="Schematic,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Schematic, radar chart&#10;&#10;Description automatically generated"/>
                    <pic:cNvPicPr>
                      <a:picLocks noChangeAspect="1"/>
                    </pic:cNvPicPr>
                  </pic:nvPicPr>
                  <pic:blipFill>
                    <a:blip r:embed="rId5" cstate="print">
                      <a:extLst>
                        <a:ext uri="{28A0092B-C50C-407E-A947-70E740481C1C}">
                          <a14:useLocalDpi xmlns:a14="http://schemas.microsoft.com/office/drawing/2010/main" val="0"/>
                        </a:ext>
                      </a:extLst>
                    </a:blip>
                    <a:srcRect l="14785" t="9824" r="42032" b="9645"/>
                    <a:stretch>
                      <a:fillRect/>
                    </a:stretch>
                  </pic:blipFill>
                  <pic:spPr>
                    <a:xfrm>
                      <a:off x="0" y="0"/>
                      <a:ext cx="1836461" cy="1926496"/>
                    </a:xfrm>
                    <a:prstGeom prst="rect">
                      <a:avLst/>
                    </a:prstGeom>
                    <a:ln>
                      <a:noFill/>
                    </a:ln>
                  </pic:spPr>
                </pic:pic>
              </a:graphicData>
            </a:graphic>
          </wp:inline>
        </w:drawing>
      </w:r>
    </w:p>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bCs/>
          <w:sz w:val="20"/>
          <w:szCs w:val="20"/>
        </w:rPr>
        <w:t>Figure 1: Relationship between Positioning Error (PE), Protection Level (PL), Alert Limit (AL), Misleading Information (MI) and Hazardous Misleading Information(HMI) [2]</w:t>
      </w:r>
    </w:p>
    <w:p>
      <w:pPr>
        <w:snapToGrid w:val="0"/>
        <w:spacing w:before="180" w:beforeLines="50" w:after="180" w:afterLines="50" w:line="240" w:lineRule="auto"/>
        <w:rPr>
          <w:rFonts w:ascii="Times New Roman" w:hAnsi="Times New Roman"/>
          <w:sz w:val="20"/>
          <w:szCs w:val="20"/>
        </w:rPr>
      </w:pPr>
      <w:r>
        <w:rPr>
          <w:rFonts w:ascii="Times New Roman" w:hAnsi="Times New Roman"/>
          <w:sz w:val="20"/>
          <w:szCs w:val="20"/>
        </w:rPr>
        <w:t>In Rel-17 normative work, RAN2 discussed the following aspects for A-GNSS positioning integrity:</w:t>
      </w:r>
    </w:p>
    <w:p>
      <w:pPr>
        <w:widowControl w:val="0"/>
        <w:numPr>
          <w:ilvl w:val="0"/>
          <w:numId w:val="4"/>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Which kind of feared events should be monitored and indicated, and what is the spec impact of feared event.</w:t>
      </w:r>
    </w:p>
    <w:p>
      <w:pPr>
        <w:widowControl w:val="0"/>
        <w:numPr>
          <w:ilvl w:val="0"/>
          <w:numId w:val="4"/>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What is the signaling transfer procedure of </w:t>
      </w:r>
      <w:r>
        <w:rPr>
          <w:rFonts w:ascii="Times New Roman" w:hAnsi="Times New Roman"/>
          <w:bCs/>
          <w:sz w:val="20"/>
          <w:szCs w:val="20"/>
        </w:rPr>
        <w:t xml:space="preserve">KPIs, feared events </w:t>
      </w:r>
      <w:r>
        <w:rPr>
          <w:rFonts w:ascii="Times New Roman" w:hAnsi="Times New Roman"/>
          <w:sz w:val="20"/>
          <w:szCs w:val="20"/>
        </w:rPr>
        <w:t xml:space="preserve">and </w:t>
      </w:r>
      <w:r>
        <w:rPr>
          <w:rFonts w:ascii="Times New Roman" w:hAnsi="Times New Roman"/>
          <w:bCs/>
          <w:sz w:val="20"/>
          <w:szCs w:val="20"/>
        </w:rPr>
        <w:t>integrity results</w:t>
      </w:r>
      <w:r>
        <w:rPr>
          <w:rFonts w:ascii="Times New Roman" w:hAnsi="Times New Roman"/>
          <w:sz w:val="20"/>
          <w:szCs w:val="20"/>
        </w:rPr>
        <w:t xml:space="preserve">, under the case of MT-LR, MO-LR of UE-based integrity. </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Figure 2 and Table 1 depict the detailed feared event for GNSS positioning. Two modes were discussed for reporting integrity results. </w:t>
      </w:r>
    </w:p>
    <w:p>
      <w:pPr>
        <w:widowControl w:val="0"/>
        <w:numPr>
          <w:ilvl w:val="0"/>
          <w:numId w:val="5"/>
        </w:numPr>
        <w:snapToGrid w:val="0"/>
        <w:spacing w:before="50" w:after="50" w:line="240" w:lineRule="auto"/>
        <w:jc w:val="both"/>
        <w:rPr>
          <w:rFonts w:ascii="Times New Roman" w:hAnsi="Times New Roman"/>
          <w:sz w:val="20"/>
          <w:szCs w:val="20"/>
        </w:rPr>
      </w:pPr>
      <w:r>
        <w:rPr>
          <w:rFonts w:ascii="Times New Roman" w:hAnsi="Times New Roman"/>
          <w:sz w:val="20"/>
          <w:szCs w:val="20"/>
        </w:rPr>
        <w:t>Mode 1: UE directly reports PL value to LMF.</w:t>
      </w:r>
      <w:r>
        <w:rPr>
          <w:rFonts w:ascii="Times New Roman" w:hAnsi="Times New Roman"/>
          <w:b/>
          <w:sz w:val="20"/>
          <w:szCs w:val="20"/>
        </w:rPr>
        <w:t xml:space="preserve"> (agreed in R17)</w:t>
      </w:r>
    </w:p>
    <w:p>
      <w:pPr>
        <w:widowControl w:val="0"/>
        <w:numPr>
          <w:ilvl w:val="0"/>
          <w:numId w:val="5"/>
        </w:numPr>
        <w:snapToGrid w:val="0"/>
        <w:spacing w:before="50" w:after="50" w:line="240" w:lineRule="auto"/>
        <w:jc w:val="both"/>
        <w:rPr>
          <w:rFonts w:ascii="Times New Roman" w:hAnsi="Times New Roman"/>
          <w:sz w:val="20"/>
          <w:szCs w:val="20"/>
        </w:rPr>
      </w:pPr>
      <w:r>
        <w:rPr>
          <w:rFonts w:ascii="Times New Roman" w:hAnsi="Times New Roman"/>
          <w:sz w:val="20"/>
          <w:szCs w:val="20"/>
        </w:rPr>
        <w:t xml:space="preserve">Mode 2: UE reports integrity flag to LMF, the integrity flag is whether PL is larger than AL. </w:t>
      </w:r>
      <w:r>
        <w:rPr>
          <w:rFonts w:ascii="Times New Roman" w:hAnsi="Times New Roman"/>
          <w:b/>
          <w:sz w:val="20"/>
          <w:szCs w:val="20"/>
        </w:rPr>
        <w:t>(not agreed in R17)</w:t>
      </w:r>
    </w:p>
    <w:p>
      <w:pPr>
        <w:snapToGrid w:val="0"/>
        <w:spacing w:before="50" w:after="50" w:line="240" w:lineRule="auto"/>
        <w:jc w:val="center"/>
        <w:rPr>
          <w:rFonts w:ascii="Times New Roman" w:hAnsi="Times New Roman"/>
          <w:sz w:val="20"/>
          <w:szCs w:val="20"/>
        </w:rPr>
      </w:pPr>
      <w:r>
        <w:rPr>
          <w:rFonts w:ascii="Times New Roman" w:hAnsi="Times New Roman"/>
          <w:sz w:val="20"/>
          <w:szCs w:val="20"/>
        </w:rPr>
        <w:drawing>
          <wp:inline distT="0" distB="0" distL="0" distR="0">
            <wp:extent cx="4078605" cy="2188845"/>
            <wp:effectExtent l="0" t="0" r="17145" b="190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a:picLocks noChangeAspect="1"/>
                    </pic:cNvPicPr>
                  </pic:nvPicPr>
                  <pic:blipFill>
                    <a:blip r:embed="rId6"/>
                    <a:stretch>
                      <a:fillRect/>
                    </a:stretch>
                  </pic:blipFill>
                  <pic:spPr>
                    <a:xfrm>
                      <a:off x="0" y="0"/>
                      <a:ext cx="4098283" cy="2199442"/>
                    </a:xfrm>
                    <a:prstGeom prst="rect">
                      <a:avLst/>
                    </a:prstGeom>
                  </pic:spPr>
                </pic:pic>
              </a:graphicData>
            </a:graphic>
          </wp:inline>
        </w:drawing>
      </w:r>
    </w:p>
    <w:p>
      <w:pPr>
        <w:snapToGrid w:val="0"/>
        <w:spacing w:before="50" w:after="50" w:line="240" w:lineRule="auto"/>
        <w:jc w:val="center"/>
        <w:rPr>
          <w:rFonts w:ascii="Times New Roman" w:hAnsi="Times New Roman" w:eastAsia="宋体"/>
          <w:sz w:val="20"/>
          <w:szCs w:val="20"/>
        </w:rPr>
      </w:pPr>
      <w:r>
        <w:rPr>
          <w:rFonts w:ascii="Times New Roman" w:hAnsi="Times New Roman" w:eastAsia="宋体"/>
          <w:sz w:val="20"/>
          <w:szCs w:val="20"/>
        </w:rPr>
        <w:t>Figure 2. Structure of 5 kinds of feared events</w:t>
      </w:r>
    </w:p>
    <w:p>
      <w:pPr>
        <w:snapToGrid w:val="0"/>
        <w:spacing w:before="50" w:after="50" w:line="240" w:lineRule="auto"/>
        <w:jc w:val="center"/>
        <w:rPr>
          <w:rFonts w:ascii="Times New Roman" w:hAnsi="Times New Roman" w:eastAsia="宋体"/>
          <w:sz w:val="20"/>
          <w:szCs w:val="20"/>
        </w:rPr>
      </w:pPr>
      <w:r>
        <w:rPr>
          <w:rFonts w:ascii="Times New Roman" w:hAnsi="Times New Roman" w:eastAsia="宋体"/>
          <w:sz w:val="20"/>
          <w:szCs w:val="20"/>
        </w:rPr>
        <w:t>Table 1. Details of 5 kinds of feared events</w:t>
      </w:r>
    </w:p>
    <w:tbl>
      <w:tblPr>
        <w:tblStyle w:val="23"/>
        <w:tblW w:w="501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79"/>
        <w:gridCol w:w="4101"/>
        <w:gridCol w:w="28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 w:hRule="atLeast"/>
        </w:trPr>
        <w:tc>
          <w:tcPr>
            <w:tcW w:w="1394" w:type="pct"/>
            <w:shd w:val="clear" w:color="auto" w:fill="D9D9D9"/>
          </w:tcPr>
          <w:p>
            <w:pPr>
              <w:snapToGrid w:val="0"/>
              <w:spacing w:before="50" w:after="50" w:line="240" w:lineRule="auto"/>
              <w:rPr>
                <w:rFonts w:ascii="Times New Roman" w:hAnsi="Times New Roman"/>
                <w:b/>
                <w:sz w:val="20"/>
                <w:szCs w:val="20"/>
              </w:rPr>
            </w:pPr>
            <w:r>
              <w:rPr>
                <w:rFonts w:ascii="Times New Roman" w:hAnsi="Times New Roman"/>
                <w:b/>
                <w:sz w:val="20"/>
                <w:szCs w:val="20"/>
              </w:rPr>
              <w:t xml:space="preserve">Feared Event Category </w:t>
            </w:r>
          </w:p>
        </w:tc>
        <w:tc>
          <w:tcPr>
            <w:tcW w:w="2134" w:type="pct"/>
            <w:shd w:val="clear" w:color="auto" w:fill="D9D9D9"/>
          </w:tcPr>
          <w:p>
            <w:pPr>
              <w:snapToGrid w:val="0"/>
              <w:spacing w:before="50" w:after="50" w:line="240" w:lineRule="auto"/>
              <w:rPr>
                <w:rFonts w:ascii="Times New Roman" w:hAnsi="Times New Roman"/>
                <w:b/>
                <w:sz w:val="20"/>
                <w:szCs w:val="20"/>
              </w:rPr>
            </w:pPr>
            <w:r>
              <w:rPr>
                <w:rFonts w:ascii="Times New Roman" w:hAnsi="Times New Roman"/>
                <w:b/>
                <w:sz w:val="20"/>
                <w:szCs w:val="20"/>
              </w:rPr>
              <w:t xml:space="preserve">Feared Event </w:t>
            </w:r>
          </w:p>
        </w:tc>
        <w:tc>
          <w:tcPr>
            <w:tcW w:w="1471" w:type="pct"/>
            <w:shd w:val="clear" w:color="auto" w:fill="D9D9D9"/>
          </w:tcPr>
          <w:p>
            <w:pPr>
              <w:snapToGrid w:val="0"/>
              <w:spacing w:before="50" w:after="50" w:line="240" w:lineRule="auto"/>
              <w:rPr>
                <w:rFonts w:ascii="Times New Roman" w:hAnsi="Times New Roman"/>
                <w:b/>
                <w:sz w:val="20"/>
                <w:szCs w:val="20"/>
              </w:rPr>
            </w:pPr>
            <w:r>
              <w:rPr>
                <w:rFonts w:ascii="Times New Roman" w:hAnsi="Times New Roman"/>
                <w:b/>
                <w:sz w:val="20"/>
                <w:szCs w:val="20"/>
              </w:rPr>
              <w:t xml:space="preserve">Examples of positioning integrity assistance information (FFS)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 w:hRule="atLeast"/>
        </w:trPr>
        <w:tc>
          <w:tcPr>
            <w:tcW w:w="1394" w:type="pct"/>
            <w:vMerge w:val="restart"/>
          </w:tcPr>
          <w:p>
            <w:pPr>
              <w:snapToGrid w:val="0"/>
              <w:spacing w:before="50" w:after="50" w:line="240" w:lineRule="auto"/>
              <w:rPr>
                <w:rFonts w:ascii="Times New Roman" w:hAnsi="Times New Roman"/>
                <w:sz w:val="20"/>
                <w:szCs w:val="20"/>
              </w:rPr>
            </w:pPr>
            <w:r>
              <w:rPr>
                <w:rFonts w:ascii="Times New Roman" w:hAnsi="Times New Roman"/>
                <w:sz w:val="20"/>
                <w:szCs w:val="20"/>
              </w:rPr>
              <w:t xml:space="preserve">1. </w:t>
            </w:r>
            <w:sdt>
              <w:sdtPr>
                <w:rPr>
                  <w:rFonts w:ascii="Times New Roman" w:hAnsi="Times New Roman"/>
                  <w:sz w:val="20"/>
                  <w:szCs w:val="20"/>
                </w:rPr>
                <w:tag w:val="goog_rdk_0"/>
                <w:id w:val="-901747254"/>
              </w:sdtPr>
              <w:sdtEndPr>
                <w:rPr>
                  <w:rFonts w:ascii="Times New Roman" w:hAnsi="Times New Roman"/>
                  <w:sz w:val="20"/>
                  <w:szCs w:val="20"/>
                </w:rPr>
              </w:sdtEndPr>
              <w:sdtContent/>
            </w:sdt>
            <w:r>
              <w:rPr>
                <w:rFonts w:ascii="Times New Roman" w:hAnsi="Times New Roman"/>
                <w:sz w:val="20"/>
                <w:szCs w:val="20"/>
              </w:rPr>
              <w:t xml:space="preserve">Feared events in the GNSS Assistance Data </w:t>
            </w:r>
          </w:p>
        </w:tc>
        <w:tc>
          <w:tcPr>
            <w:tcW w:w="2134" w:type="pct"/>
          </w:tcPr>
          <w:p>
            <w:pPr>
              <w:snapToGrid w:val="0"/>
              <w:spacing w:before="50" w:after="50" w:line="240" w:lineRule="auto"/>
              <w:rPr>
                <w:rFonts w:ascii="Times New Roman" w:hAnsi="Times New Roman"/>
                <w:sz w:val="20"/>
                <w:szCs w:val="20"/>
              </w:rPr>
            </w:pPr>
            <w:r>
              <w:rPr>
                <w:rFonts w:ascii="Times New Roman" w:hAnsi="Times New Roman"/>
                <w:sz w:val="20"/>
                <w:szCs w:val="20"/>
              </w:rPr>
              <w:t>Incorrect computation of the GNSS Assistance Data, e.g. software bug, corrupt or lost data</w:t>
            </w:r>
          </w:p>
        </w:tc>
        <w:tc>
          <w:tcPr>
            <w:tcW w:w="1471" w:type="pct"/>
            <w:vMerge w:val="restart"/>
          </w:tcPr>
          <w:p>
            <w:pPr>
              <w:snapToGrid w:val="0"/>
              <w:spacing w:before="50" w:after="50" w:line="240" w:lineRule="auto"/>
              <w:rPr>
                <w:rFonts w:ascii="Times New Roman" w:hAnsi="Times New Roman"/>
                <w:sz w:val="20"/>
                <w:szCs w:val="20"/>
              </w:rPr>
            </w:pPr>
            <w:r>
              <w:rPr>
                <w:rFonts w:ascii="Times New Roman" w:hAnsi="Times New Roman"/>
                <w:sz w:val="20"/>
                <w:szCs w:val="20"/>
              </w:rPr>
              <w:t>Validity or quality flags for existing assistance information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 w:hRule="atLeast"/>
        </w:trPr>
        <w:tc>
          <w:tcPr>
            <w:tcW w:w="1394" w:type="pct"/>
            <w:vMerge w:val="continue"/>
            <w:tcBorders>
              <w:bottom w:val="single" w:color="000000" w:sz="4" w:space="0"/>
            </w:tcBorders>
          </w:tcPr>
          <w:p>
            <w:pPr>
              <w:snapToGrid w:val="0"/>
              <w:spacing w:before="50" w:after="50" w:line="240" w:lineRule="auto"/>
              <w:rPr>
                <w:rFonts w:ascii="Times New Roman" w:hAnsi="Times New Roman"/>
                <w:sz w:val="20"/>
                <w:szCs w:val="20"/>
              </w:rPr>
            </w:pPr>
          </w:p>
        </w:tc>
        <w:tc>
          <w:tcPr>
            <w:tcW w:w="2134" w:type="pct"/>
            <w:tcBorders>
              <w:bottom w:val="single" w:color="000000" w:sz="4" w:space="0"/>
            </w:tcBorders>
          </w:tcPr>
          <w:p>
            <w:pPr>
              <w:snapToGrid w:val="0"/>
              <w:spacing w:before="50" w:after="50" w:line="240" w:lineRule="auto"/>
              <w:rPr>
                <w:rFonts w:ascii="Times New Roman" w:hAnsi="Times New Roman"/>
                <w:sz w:val="20"/>
                <w:szCs w:val="20"/>
              </w:rPr>
            </w:pPr>
            <w:r>
              <w:rPr>
                <w:rFonts w:ascii="Times New Roman" w:hAnsi="Times New Roman"/>
                <w:sz w:val="20"/>
                <w:szCs w:val="20"/>
              </w:rPr>
              <w:t>External feared event impacting the GNSS Assistance Data, e.g. satellite, atmospheric or local environment feared events (Category 3) impacting the GNSS reference stations in the GNSS correction provider's network.</w:t>
            </w:r>
          </w:p>
        </w:tc>
        <w:tc>
          <w:tcPr>
            <w:tcW w:w="1471" w:type="pct"/>
            <w:vMerge w:val="continue"/>
            <w:tcBorders>
              <w:bottom w:val="single" w:color="000000" w:sz="4" w:space="0"/>
            </w:tcBorders>
          </w:tcPr>
          <w:p>
            <w:pPr>
              <w:snapToGrid w:val="0"/>
              <w:spacing w:before="50" w:after="50" w:line="240" w:lineRule="auto"/>
              <w:rPr>
                <w:rFonts w:ascii="Times New Roman" w:hAnsi="Times New Roman"/>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 w:hRule="atLeast"/>
        </w:trPr>
        <w:tc>
          <w:tcPr>
            <w:tcW w:w="1394" w:type="pct"/>
            <w:vMerge w:val="restart"/>
          </w:tcPr>
          <w:p>
            <w:pPr>
              <w:snapToGrid w:val="0"/>
              <w:spacing w:before="50" w:after="50" w:line="240" w:lineRule="auto"/>
              <w:rPr>
                <w:rFonts w:ascii="Times New Roman" w:hAnsi="Times New Roman"/>
                <w:sz w:val="20"/>
                <w:szCs w:val="20"/>
              </w:rPr>
            </w:pPr>
            <w:r>
              <w:rPr>
                <w:rFonts w:ascii="Times New Roman" w:hAnsi="Times New Roman"/>
                <w:sz w:val="20"/>
                <w:szCs w:val="20"/>
              </w:rPr>
              <w:t>2. Feared events during positioning data transmission</w:t>
            </w:r>
            <w:r>
              <w:rPr>
                <w:rFonts w:ascii="Times New Roman" w:hAnsi="Times New Roman"/>
                <w:color w:val="FF0000"/>
                <w:sz w:val="20"/>
                <w:szCs w:val="20"/>
              </w:rPr>
              <w:t xml:space="preserve"> </w:t>
            </w:r>
            <w:r>
              <w:rPr>
                <w:rFonts w:ascii="Times New Roman" w:hAnsi="Times New Roman"/>
                <w:b/>
                <w:sz w:val="20"/>
                <w:szCs w:val="20"/>
              </w:rPr>
              <w:t>(not treated in R17 eventually)</w:t>
            </w:r>
          </w:p>
        </w:tc>
        <w:tc>
          <w:tcPr>
            <w:tcW w:w="2134" w:type="pct"/>
            <w:vMerge w:val="restart"/>
          </w:tcPr>
          <w:p>
            <w:pPr>
              <w:snapToGrid w:val="0"/>
              <w:spacing w:before="50" w:after="50" w:line="240" w:lineRule="auto"/>
              <w:rPr>
                <w:rFonts w:ascii="Times New Roman" w:hAnsi="Times New Roman"/>
                <w:sz w:val="20"/>
                <w:szCs w:val="20"/>
              </w:rPr>
            </w:pPr>
            <w:r>
              <w:rPr>
                <w:rFonts w:ascii="Times New Roman" w:hAnsi="Times New Roman"/>
                <w:sz w:val="20"/>
                <w:szCs w:val="20"/>
              </w:rPr>
              <w:t>Data integrity faults</w:t>
            </w:r>
          </w:p>
        </w:tc>
        <w:tc>
          <w:tcPr>
            <w:tcW w:w="1471" w:type="pct"/>
          </w:tcPr>
          <w:p>
            <w:pPr>
              <w:snapToGrid w:val="0"/>
              <w:spacing w:before="50" w:after="50" w:line="240" w:lineRule="auto"/>
              <w:rPr>
                <w:rFonts w:ascii="Times New Roman" w:hAnsi="Times New Roman"/>
                <w:sz w:val="20"/>
                <w:szCs w:val="20"/>
              </w:rPr>
            </w:pPr>
            <w:r>
              <w:rPr>
                <w:rFonts w:ascii="Times New Roman" w:hAnsi="Times New Roman"/>
                <w:sz w:val="20"/>
                <w:szCs w:val="20"/>
              </w:rPr>
              <w:t>Data corruption check, e.g.</w:t>
            </w:r>
            <w:sdt>
              <w:sdtPr>
                <w:rPr>
                  <w:rFonts w:ascii="Times New Roman" w:hAnsi="Times New Roman"/>
                  <w:sz w:val="20"/>
                  <w:szCs w:val="20"/>
                </w:rPr>
                <w:tag w:val="goog_rdk_1"/>
                <w:id w:val="1061289158"/>
              </w:sdtPr>
              <w:sdtEndPr>
                <w:rPr>
                  <w:rFonts w:ascii="Times New Roman" w:hAnsi="Times New Roman"/>
                  <w:sz w:val="20"/>
                  <w:szCs w:val="20"/>
                </w:rPr>
              </w:sdtEndPr>
              <w:sdtContent/>
            </w:sdt>
            <w:r>
              <w:rPr>
                <w:rFonts w:ascii="Times New Roman" w:hAnsi="Times New Roman"/>
                <w:sz w:val="20"/>
                <w:szCs w:val="20"/>
              </w:rPr>
              <w:t xml:space="preserve"> CRC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 w:hRule="atLeast"/>
        </w:trPr>
        <w:tc>
          <w:tcPr>
            <w:tcW w:w="1394" w:type="pct"/>
            <w:vMerge w:val="continue"/>
          </w:tcPr>
          <w:p>
            <w:pPr>
              <w:snapToGrid w:val="0"/>
              <w:spacing w:before="50" w:after="50" w:line="240" w:lineRule="auto"/>
              <w:rPr>
                <w:rFonts w:ascii="Times New Roman" w:hAnsi="Times New Roman"/>
                <w:sz w:val="20"/>
                <w:szCs w:val="20"/>
              </w:rPr>
            </w:pPr>
          </w:p>
        </w:tc>
        <w:tc>
          <w:tcPr>
            <w:tcW w:w="2134" w:type="pct"/>
            <w:vMerge w:val="continue"/>
          </w:tcPr>
          <w:p>
            <w:pPr>
              <w:snapToGrid w:val="0"/>
              <w:spacing w:before="50" w:after="50" w:line="240" w:lineRule="auto"/>
              <w:rPr>
                <w:rFonts w:ascii="Times New Roman" w:hAnsi="Times New Roman"/>
                <w:sz w:val="20"/>
                <w:szCs w:val="20"/>
              </w:rPr>
            </w:pPr>
          </w:p>
        </w:tc>
        <w:tc>
          <w:tcPr>
            <w:tcW w:w="1471" w:type="pct"/>
          </w:tcPr>
          <w:p>
            <w:pPr>
              <w:snapToGrid w:val="0"/>
              <w:spacing w:before="50" w:after="50" w:line="240" w:lineRule="auto"/>
              <w:rPr>
                <w:rFonts w:ascii="Times New Roman" w:hAnsi="Times New Roman"/>
                <w:sz w:val="20"/>
                <w:szCs w:val="20"/>
              </w:rPr>
            </w:pPr>
            <w:r>
              <w:rPr>
                <w:rFonts w:ascii="Times New Roman" w:hAnsi="Times New Roman"/>
                <w:sz w:val="20"/>
                <w:szCs w:val="20"/>
              </w:rPr>
              <w:t>Data Authentication / Signature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trPr>
        <w:tc>
          <w:tcPr>
            <w:tcW w:w="1394" w:type="pct"/>
            <w:vMerge w:val="restart"/>
          </w:tcPr>
          <w:p>
            <w:pPr>
              <w:snapToGrid w:val="0"/>
              <w:spacing w:before="50" w:after="50" w:line="240" w:lineRule="auto"/>
              <w:rPr>
                <w:rFonts w:ascii="Times New Roman" w:hAnsi="Times New Roman"/>
                <w:sz w:val="20"/>
                <w:szCs w:val="20"/>
              </w:rPr>
            </w:pPr>
            <w:r>
              <w:rPr>
                <w:rFonts w:ascii="Times New Roman" w:hAnsi="Times New Roman"/>
                <w:sz w:val="20"/>
                <w:szCs w:val="20"/>
              </w:rPr>
              <w:t xml:space="preserve">3. </w:t>
            </w:r>
            <w:sdt>
              <w:sdtPr>
                <w:rPr>
                  <w:rFonts w:ascii="Times New Roman" w:hAnsi="Times New Roman"/>
                  <w:sz w:val="20"/>
                  <w:szCs w:val="20"/>
                </w:rPr>
                <w:tag w:val="goog_rdk_2"/>
                <w:id w:val="-1264447975"/>
              </w:sdtPr>
              <w:sdtEndPr>
                <w:rPr>
                  <w:rFonts w:ascii="Times New Roman" w:hAnsi="Times New Roman"/>
                  <w:sz w:val="20"/>
                  <w:szCs w:val="20"/>
                </w:rPr>
              </w:sdtEndPr>
              <w:sdtContent/>
            </w:sdt>
            <w:r>
              <w:rPr>
                <w:rFonts w:ascii="Times New Roman" w:hAnsi="Times New Roman"/>
                <w:sz w:val="20"/>
                <w:szCs w:val="20"/>
              </w:rPr>
              <w:t>GNSS feared events</w:t>
            </w:r>
          </w:p>
        </w:tc>
        <w:tc>
          <w:tcPr>
            <w:tcW w:w="2134" w:type="pct"/>
          </w:tcPr>
          <w:p>
            <w:pPr>
              <w:snapToGrid w:val="0"/>
              <w:spacing w:before="50" w:after="50" w:line="240" w:lineRule="auto"/>
              <w:rPr>
                <w:rFonts w:ascii="Times New Roman" w:hAnsi="Times New Roman"/>
                <w:sz w:val="20"/>
                <w:szCs w:val="20"/>
              </w:rPr>
            </w:pPr>
            <w:r>
              <w:rPr>
                <w:rFonts w:ascii="Times New Roman" w:hAnsi="Times New Roman"/>
                <w:sz w:val="20"/>
                <w:szCs w:val="20"/>
              </w:rPr>
              <w:t>Satellite feared events</w:t>
            </w:r>
          </w:p>
          <w:p>
            <w:pPr>
              <w:snapToGrid w:val="0"/>
              <w:spacing w:before="50" w:after="50" w:line="240" w:lineRule="auto"/>
              <w:rPr>
                <w:rFonts w:ascii="Times New Roman" w:hAnsi="Times New Roman"/>
                <w:sz w:val="20"/>
                <w:szCs w:val="20"/>
              </w:rPr>
            </w:pPr>
            <w:r>
              <w:rPr>
                <w:rFonts w:ascii="Times New Roman" w:hAnsi="Times New Roman"/>
                <w:sz w:val="20"/>
                <w:szCs w:val="20"/>
              </w:rPr>
              <w:t>e.g. bad signal-in-space or bad broadcast navigation data</w:t>
            </w:r>
          </w:p>
        </w:tc>
        <w:tc>
          <w:tcPr>
            <w:tcW w:w="1471" w:type="pct"/>
          </w:tcPr>
          <w:p>
            <w:pPr>
              <w:snapToGrid w:val="0"/>
              <w:spacing w:before="50" w:after="50" w:line="240" w:lineRule="auto"/>
              <w:rPr>
                <w:rFonts w:ascii="Times New Roman" w:hAnsi="Times New Roman"/>
                <w:sz w:val="20"/>
                <w:szCs w:val="20"/>
              </w:rPr>
            </w:pPr>
            <w:r>
              <w:rPr>
                <w:rFonts w:ascii="Times New Roman" w:hAnsi="Times New Roman"/>
                <w:sz w:val="20"/>
                <w:szCs w:val="20"/>
              </w:rPr>
              <w:t>Satellite health or quality flags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 w:hRule="atLeast"/>
        </w:trPr>
        <w:tc>
          <w:tcPr>
            <w:tcW w:w="1394" w:type="pct"/>
            <w:vMerge w:val="continue"/>
          </w:tcPr>
          <w:p>
            <w:pPr>
              <w:snapToGrid w:val="0"/>
              <w:spacing w:before="50" w:after="50" w:line="240" w:lineRule="auto"/>
              <w:rPr>
                <w:rFonts w:ascii="Times New Roman" w:hAnsi="Times New Roman"/>
                <w:sz w:val="20"/>
                <w:szCs w:val="20"/>
              </w:rPr>
            </w:pPr>
          </w:p>
        </w:tc>
        <w:tc>
          <w:tcPr>
            <w:tcW w:w="2134" w:type="pct"/>
            <w:vMerge w:val="restart"/>
          </w:tcPr>
          <w:p>
            <w:pPr>
              <w:snapToGrid w:val="0"/>
              <w:spacing w:before="50" w:after="50" w:line="240" w:lineRule="auto"/>
              <w:rPr>
                <w:rFonts w:ascii="Times New Roman" w:hAnsi="Times New Roman"/>
                <w:sz w:val="20"/>
                <w:szCs w:val="20"/>
              </w:rPr>
            </w:pPr>
            <w:r>
              <w:rPr>
                <w:rFonts w:ascii="Times New Roman" w:hAnsi="Times New Roman"/>
                <w:sz w:val="20"/>
                <w:szCs w:val="20"/>
              </w:rPr>
              <w:t>Atmospheric feared events</w:t>
            </w:r>
          </w:p>
        </w:tc>
        <w:tc>
          <w:tcPr>
            <w:tcW w:w="1471" w:type="pct"/>
          </w:tcPr>
          <w:p>
            <w:pPr>
              <w:snapToGrid w:val="0"/>
              <w:spacing w:before="50" w:after="50" w:line="240" w:lineRule="auto"/>
              <w:rPr>
                <w:rFonts w:ascii="Times New Roman" w:hAnsi="Times New Roman"/>
                <w:sz w:val="20"/>
                <w:szCs w:val="20"/>
              </w:rPr>
            </w:pPr>
            <w:r>
              <w:rPr>
                <w:rFonts w:ascii="Times New Roman" w:hAnsi="Times New Roman"/>
                <w:sz w:val="20"/>
                <w:szCs w:val="20"/>
              </w:rPr>
              <w:t>Ionospheric indicator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 w:hRule="atLeast"/>
        </w:trPr>
        <w:tc>
          <w:tcPr>
            <w:tcW w:w="1394" w:type="pct"/>
            <w:vMerge w:val="continue"/>
          </w:tcPr>
          <w:p>
            <w:pPr>
              <w:snapToGrid w:val="0"/>
              <w:spacing w:before="50" w:after="50" w:line="240" w:lineRule="auto"/>
              <w:rPr>
                <w:rFonts w:ascii="Times New Roman" w:hAnsi="Times New Roman"/>
                <w:sz w:val="20"/>
                <w:szCs w:val="20"/>
              </w:rPr>
            </w:pPr>
          </w:p>
        </w:tc>
        <w:tc>
          <w:tcPr>
            <w:tcW w:w="2134" w:type="pct"/>
            <w:vMerge w:val="continue"/>
          </w:tcPr>
          <w:p>
            <w:pPr>
              <w:snapToGrid w:val="0"/>
              <w:spacing w:before="50" w:after="50" w:line="240" w:lineRule="auto"/>
              <w:rPr>
                <w:rFonts w:ascii="Times New Roman" w:hAnsi="Times New Roman"/>
                <w:sz w:val="20"/>
                <w:szCs w:val="20"/>
              </w:rPr>
            </w:pPr>
          </w:p>
        </w:tc>
        <w:tc>
          <w:tcPr>
            <w:tcW w:w="1471" w:type="pct"/>
          </w:tcPr>
          <w:p>
            <w:pPr>
              <w:snapToGrid w:val="0"/>
              <w:spacing w:before="50" w:after="50" w:line="240" w:lineRule="auto"/>
              <w:rPr>
                <w:rFonts w:ascii="Times New Roman" w:hAnsi="Times New Roman"/>
                <w:sz w:val="20"/>
                <w:szCs w:val="20"/>
              </w:rPr>
            </w:pPr>
            <w:r>
              <w:rPr>
                <w:rFonts w:ascii="Times New Roman" w:hAnsi="Times New Roman"/>
                <w:sz w:val="20"/>
                <w:szCs w:val="20"/>
              </w:rPr>
              <w:t>Tropospheric indicator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1" w:hRule="atLeast"/>
        </w:trPr>
        <w:tc>
          <w:tcPr>
            <w:tcW w:w="1394" w:type="pct"/>
            <w:vMerge w:val="continue"/>
          </w:tcPr>
          <w:p>
            <w:pPr>
              <w:snapToGrid w:val="0"/>
              <w:spacing w:before="50" w:after="50" w:line="240" w:lineRule="auto"/>
              <w:rPr>
                <w:rFonts w:ascii="Times New Roman" w:hAnsi="Times New Roman"/>
                <w:sz w:val="20"/>
                <w:szCs w:val="20"/>
              </w:rPr>
            </w:pPr>
          </w:p>
        </w:tc>
        <w:tc>
          <w:tcPr>
            <w:tcW w:w="2134" w:type="pct"/>
          </w:tcPr>
          <w:p>
            <w:pPr>
              <w:snapToGrid w:val="0"/>
              <w:spacing w:before="50" w:after="50" w:line="240" w:lineRule="auto"/>
              <w:rPr>
                <w:rFonts w:ascii="Times New Roman" w:hAnsi="Times New Roman"/>
                <w:sz w:val="20"/>
                <w:szCs w:val="20"/>
              </w:rPr>
            </w:pPr>
            <w:r>
              <w:rPr>
                <w:rFonts w:ascii="Times New Roman" w:hAnsi="Times New Roman"/>
                <w:sz w:val="20"/>
                <w:szCs w:val="20"/>
              </w:rPr>
              <w:t>Local Environment feared events, e.g. Multipath, Spoofing, Interference</w:t>
            </w:r>
          </w:p>
        </w:tc>
        <w:tc>
          <w:tcPr>
            <w:tcW w:w="1471" w:type="pct"/>
          </w:tcPr>
          <w:p>
            <w:pPr>
              <w:snapToGrid w:val="0"/>
              <w:spacing w:before="50" w:after="50" w:line="240" w:lineRule="auto"/>
              <w:rPr>
                <w:rFonts w:ascii="Times New Roman" w:hAnsi="Times New Roman"/>
                <w:sz w:val="20"/>
                <w:szCs w:val="20"/>
              </w:rPr>
            </w:pPr>
            <w:r>
              <w:rPr>
                <w:rFonts w:ascii="Times New Roman" w:hAnsi="Times New Roman"/>
                <w:sz w:val="20"/>
                <w:szCs w:val="20"/>
              </w:rPr>
              <w:t>Assistance information: Trustable time reference, Data Authentication / Signature, Regionalized indicator of multipath, interference, jamming, spoofing, etc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 w:hRule="atLeast"/>
        </w:trPr>
        <w:tc>
          <w:tcPr>
            <w:tcW w:w="1394" w:type="pct"/>
            <w:vMerge w:val="restart"/>
          </w:tcPr>
          <w:p>
            <w:pPr>
              <w:snapToGrid w:val="0"/>
              <w:spacing w:before="50" w:after="50" w:line="240" w:lineRule="auto"/>
              <w:rPr>
                <w:rFonts w:ascii="Times New Roman" w:hAnsi="Times New Roman"/>
                <w:sz w:val="20"/>
                <w:szCs w:val="20"/>
              </w:rPr>
            </w:pPr>
            <w:r>
              <w:rPr>
                <w:rFonts w:ascii="Times New Roman" w:hAnsi="Times New Roman"/>
                <w:sz w:val="20"/>
                <w:szCs w:val="20"/>
              </w:rPr>
              <w:t xml:space="preserve">4. UE feared events </w:t>
            </w:r>
            <w:r>
              <w:rPr>
                <w:rFonts w:ascii="Times New Roman" w:hAnsi="Times New Roman"/>
                <w:b/>
                <w:sz w:val="20"/>
                <w:szCs w:val="20"/>
              </w:rPr>
              <w:t>(not treated in UE-based case eventually)</w:t>
            </w:r>
          </w:p>
        </w:tc>
        <w:tc>
          <w:tcPr>
            <w:tcW w:w="2134" w:type="pct"/>
          </w:tcPr>
          <w:p>
            <w:pPr>
              <w:snapToGrid w:val="0"/>
              <w:spacing w:before="50" w:after="50" w:line="240" w:lineRule="auto"/>
              <w:rPr>
                <w:rFonts w:ascii="Times New Roman" w:hAnsi="Times New Roman"/>
                <w:sz w:val="20"/>
                <w:szCs w:val="20"/>
              </w:rPr>
            </w:pPr>
            <w:r>
              <w:rPr>
                <w:rFonts w:ascii="Times New Roman" w:hAnsi="Times New Roman"/>
                <w:sz w:val="20"/>
                <w:szCs w:val="20"/>
              </w:rPr>
              <w:t>GNSS receiver measurement error</w:t>
            </w:r>
          </w:p>
        </w:tc>
        <w:tc>
          <w:tcPr>
            <w:tcW w:w="1471" w:type="pct"/>
          </w:tcPr>
          <w:p>
            <w:pPr>
              <w:snapToGrid w:val="0"/>
              <w:spacing w:before="50" w:after="50" w:line="240" w:lineRule="auto"/>
              <w:rPr>
                <w:rFonts w:ascii="Times New Roman" w:hAnsi="Times New Roman"/>
                <w:i/>
                <w:iCs/>
                <w:sz w:val="20"/>
                <w:szCs w:val="20"/>
              </w:rPr>
            </w:pPr>
            <w:r>
              <w:rPr>
                <w:rFonts w:ascii="Times New Roman" w:hAnsi="Times New Roman"/>
                <w:i/>
                <w:iCs/>
                <w:sz w:val="20"/>
                <w:szCs w:val="20"/>
              </w:rPr>
              <w:t>e.g., GNSS-MeasurementList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 w:hRule="atLeast"/>
        </w:trPr>
        <w:tc>
          <w:tcPr>
            <w:tcW w:w="1394" w:type="pct"/>
            <w:vMerge w:val="continue"/>
          </w:tcPr>
          <w:p>
            <w:pPr>
              <w:snapToGrid w:val="0"/>
              <w:spacing w:before="50" w:after="50" w:line="240" w:lineRule="auto"/>
              <w:rPr>
                <w:rFonts w:ascii="Times New Roman" w:hAnsi="Times New Roman"/>
                <w:sz w:val="20"/>
                <w:szCs w:val="20"/>
              </w:rPr>
            </w:pPr>
          </w:p>
        </w:tc>
        <w:tc>
          <w:tcPr>
            <w:tcW w:w="2134" w:type="pct"/>
          </w:tcPr>
          <w:p>
            <w:pPr>
              <w:snapToGrid w:val="0"/>
              <w:spacing w:before="50" w:after="50" w:line="240" w:lineRule="auto"/>
              <w:rPr>
                <w:rFonts w:ascii="Times New Roman" w:hAnsi="Times New Roman"/>
                <w:sz w:val="20"/>
                <w:szCs w:val="20"/>
              </w:rPr>
            </w:pPr>
            <w:r>
              <w:rPr>
                <w:rFonts w:ascii="Times New Roman" w:hAnsi="Times New Roman"/>
                <w:sz w:val="20"/>
                <w:szCs w:val="20"/>
              </w:rPr>
              <w:t>Hardware faults</w:t>
            </w:r>
          </w:p>
        </w:tc>
        <w:tc>
          <w:tcPr>
            <w:tcW w:w="1471" w:type="pct"/>
          </w:tcPr>
          <w:p>
            <w:pPr>
              <w:snapToGrid w:val="0"/>
              <w:spacing w:before="50" w:after="50" w:line="240" w:lineRule="auto"/>
              <w:rPr>
                <w:rFonts w:ascii="Times New Roman" w:hAnsi="Times New Roman"/>
                <w:sz w:val="20"/>
                <w:szCs w:val="20"/>
              </w:rPr>
            </w:pPr>
            <w:r>
              <w:rPr>
                <w:rFonts w:ascii="Times New Roman" w:hAnsi="Times New Roman"/>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 w:hRule="atLeast"/>
        </w:trPr>
        <w:tc>
          <w:tcPr>
            <w:tcW w:w="1394" w:type="pct"/>
            <w:vMerge w:val="continue"/>
          </w:tcPr>
          <w:p>
            <w:pPr>
              <w:snapToGrid w:val="0"/>
              <w:spacing w:before="50" w:after="50" w:line="240" w:lineRule="auto"/>
              <w:rPr>
                <w:rFonts w:ascii="Times New Roman" w:hAnsi="Times New Roman"/>
                <w:sz w:val="20"/>
                <w:szCs w:val="20"/>
              </w:rPr>
            </w:pPr>
          </w:p>
        </w:tc>
        <w:tc>
          <w:tcPr>
            <w:tcW w:w="2134" w:type="pct"/>
          </w:tcPr>
          <w:p>
            <w:pPr>
              <w:snapToGrid w:val="0"/>
              <w:spacing w:before="50" w:after="50" w:line="240" w:lineRule="auto"/>
              <w:rPr>
                <w:rFonts w:ascii="Times New Roman" w:hAnsi="Times New Roman"/>
                <w:sz w:val="20"/>
                <w:szCs w:val="20"/>
              </w:rPr>
            </w:pPr>
            <w:r>
              <w:rPr>
                <w:rFonts w:ascii="Times New Roman" w:hAnsi="Times New Roman"/>
                <w:sz w:val="20"/>
                <w:szCs w:val="20"/>
              </w:rPr>
              <w:t>Software faults</w:t>
            </w:r>
          </w:p>
        </w:tc>
        <w:tc>
          <w:tcPr>
            <w:tcW w:w="1471" w:type="pct"/>
          </w:tcPr>
          <w:p>
            <w:pPr>
              <w:snapToGrid w:val="0"/>
              <w:spacing w:before="50" w:after="50" w:line="240" w:lineRule="auto"/>
              <w:rPr>
                <w:rFonts w:ascii="Times New Roman" w:hAnsi="Times New Roman"/>
                <w:sz w:val="20"/>
                <w:szCs w:val="20"/>
              </w:rPr>
            </w:pPr>
            <w:r>
              <w:rPr>
                <w:rFonts w:ascii="Times New Roman" w:hAnsi="Times New Roman"/>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 w:hRule="atLeast"/>
        </w:trPr>
        <w:tc>
          <w:tcPr>
            <w:tcW w:w="1394" w:type="pct"/>
            <w:vMerge w:val="restart"/>
          </w:tcPr>
          <w:p>
            <w:pPr>
              <w:snapToGrid w:val="0"/>
              <w:spacing w:before="50" w:after="50" w:line="240" w:lineRule="auto"/>
              <w:rPr>
                <w:rFonts w:ascii="Times New Roman" w:hAnsi="Times New Roman"/>
                <w:sz w:val="20"/>
                <w:szCs w:val="20"/>
              </w:rPr>
            </w:pPr>
            <w:r>
              <w:rPr>
                <w:rFonts w:ascii="Times New Roman" w:hAnsi="Times New Roman"/>
                <w:sz w:val="20"/>
                <w:szCs w:val="20"/>
              </w:rPr>
              <w:t xml:space="preserve">5. LMF feared events </w:t>
            </w:r>
            <w:r>
              <w:rPr>
                <w:rFonts w:ascii="Times New Roman" w:hAnsi="Times New Roman"/>
                <w:b/>
                <w:sz w:val="20"/>
                <w:szCs w:val="20"/>
              </w:rPr>
              <w:t>(not treated in R17 eventually)</w:t>
            </w:r>
          </w:p>
        </w:tc>
        <w:tc>
          <w:tcPr>
            <w:tcW w:w="2134" w:type="pct"/>
          </w:tcPr>
          <w:p>
            <w:pPr>
              <w:snapToGrid w:val="0"/>
              <w:spacing w:before="50" w:after="50" w:line="240" w:lineRule="auto"/>
              <w:rPr>
                <w:rFonts w:ascii="Times New Roman" w:hAnsi="Times New Roman"/>
                <w:sz w:val="20"/>
                <w:szCs w:val="20"/>
              </w:rPr>
            </w:pPr>
            <w:r>
              <w:rPr>
                <w:rFonts w:ascii="Times New Roman" w:hAnsi="Times New Roman"/>
                <w:sz w:val="20"/>
                <w:szCs w:val="20"/>
              </w:rPr>
              <w:t>Hardware faults</w:t>
            </w:r>
          </w:p>
        </w:tc>
        <w:tc>
          <w:tcPr>
            <w:tcW w:w="1471" w:type="pct"/>
          </w:tcPr>
          <w:p>
            <w:pPr>
              <w:snapToGrid w:val="0"/>
              <w:spacing w:before="50" w:after="50" w:line="240" w:lineRule="auto"/>
              <w:rPr>
                <w:rFonts w:ascii="Times New Roman" w:hAnsi="Times New Roman"/>
                <w:sz w:val="20"/>
                <w:szCs w:val="20"/>
              </w:rPr>
            </w:pPr>
            <w:r>
              <w:rPr>
                <w:rFonts w:ascii="Times New Roman" w:hAnsi="Times New Roman"/>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 w:hRule="atLeast"/>
        </w:trPr>
        <w:tc>
          <w:tcPr>
            <w:tcW w:w="1394" w:type="pct"/>
            <w:vMerge w:val="continue"/>
          </w:tcPr>
          <w:p>
            <w:pPr>
              <w:snapToGrid w:val="0"/>
              <w:spacing w:before="50" w:after="50" w:line="240" w:lineRule="auto"/>
              <w:rPr>
                <w:rFonts w:ascii="Times New Roman" w:hAnsi="Times New Roman"/>
                <w:sz w:val="20"/>
                <w:szCs w:val="20"/>
              </w:rPr>
            </w:pPr>
          </w:p>
        </w:tc>
        <w:tc>
          <w:tcPr>
            <w:tcW w:w="2134" w:type="pct"/>
          </w:tcPr>
          <w:p>
            <w:pPr>
              <w:snapToGrid w:val="0"/>
              <w:spacing w:before="50" w:after="50" w:line="240" w:lineRule="auto"/>
              <w:rPr>
                <w:rFonts w:ascii="Times New Roman" w:hAnsi="Times New Roman"/>
                <w:sz w:val="20"/>
                <w:szCs w:val="20"/>
              </w:rPr>
            </w:pPr>
            <w:r>
              <w:rPr>
                <w:rFonts w:ascii="Times New Roman" w:hAnsi="Times New Roman"/>
                <w:sz w:val="20"/>
                <w:szCs w:val="20"/>
              </w:rPr>
              <w:t>Software faults</w:t>
            </w:r>
          </w:p>
        </w:tc>
        <w:tc>
          <w:tcPr>
            <w:tcW w:w="1471" w:type="pct"/>
          </w:tcPr>
          <w:p>
            <w:pPr>
              <w:snapToGrid w:val="0"/>
              <w:spacing w:before="50" w:after="50" w:line="240" w:lineRule="auto"/>
              <w:rPr>
                <w:rFonts w:ascii="Times New Roman" w:hAnsi="Times New Roman"/>
                <w:sz w:val="20"/>
                <w:szCs w:val="20"/>
              </w:rPr>
            </w:pPr>
            <w:r>
              <w:rPr>
                <w:rFonts w:ascii="Times New Roman" w:hAnsi="Times New Roman"/>
                <w:sz w:val="20"/>
                <w:szCs w:val="20"/>
              </w:rPr>
              <w:t>*</w:t>
            </w:r>
          </w:p>
        </w:tc>
      </w:tr>
    </w:tbl>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Eventually, 37.355 [3] is updated in Rel-17 to specify the necessity LPP signaling procedure for A-GNSS integrity. Some detailed agreements can be found in Appendix. </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In Rel-17 for A-GNSS, for each error source, the parameters for error moles are provided by the location server via Assistance Data. Specifically, Gaussian distribution is assumed for each error model, and a mean and variance value are provided. For example, clock error model for integrity is shown as follows. </w:t>
      </w:r>
    </w:p>
    <w:p>
      <w:pPr>
        <w:pStyle w:val="83"/>
        <w:snapToGrid w:val="0"/>
        <w:spacing w:after="0" w:line="240" w:lineRule="auto"/>
        <w:ind w:left="1321" w:hanging="442"/>
        <w:rPr>
          <w:rFonts w:ascii="Times New Roman" w:hAnsi="Times New Roman" w:eastAsia="Times New Roman"/>
          <w:szCs w:val="16"/>
        </w:rPr>
      </w:pPr>
      <w:r>
        <w:rPr>
          <w:rFonts w:ascii="Times New Roman" w:hAnsi="Times New Roman"/>
        </w:rPr>
        <w:t>SSR-IntegrityClockBounds-r17 ::= SEQUENCE {</w:t>
      </w:r>
    </w:p>
    <w:p>
      <w:pPr>
        <w:pStyle w:val="83"/>
        <w:snapToGrid w:val="0"/>
        <w:spacing w:after="0" w:line="240" w:lineRule="auto"/>
        <w:ind w:left="1321" w:hanging="442"/>
        <w:rPr>
          <w:rFonts w:ascii="Times New Roman" w:hAnsi="Times New Roman"/>
        </w:rPr>
      </w:pPr>
      <w:r>
        <w:rPr>
          <w:rFonts w:ascii="Times New Roman" w:hAnsi="Times New Roman"/>
        </w:rPr>
        <w:tab/>
      </w:r>
      <w:r>
        <w:rPr>
          <w:rFonts w:ascii="Times New Roman" w:hAnsi="Times New Roman"/>
        </w:rPr>
        <w:t>meanClock-r17</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INTEGER (0..255),</w:t>
      </w:r>
    </w:p>
    <w:p>
      <w:pPr>
        <w:pStyle w:val="83"/>
        <w:snapToGrid w:val="0"/>
        <w:spacing w:after="0" w:line="240" w:lineRule="auto"/>
        <w:ind w:left="1321" w:hanging="442"/>
        <w:rPr>
          <w:rFonts w:ascii="Times New Roman" w:hAnsi="Times New Roman"/>
        </w:rPr>
      </w:pPr>
      <w:r>
        <w:rPr>
          <w:rFonts w:ascii="Times New Roman" w:hAnsi="Times New Roman"/>
        </w:rPr>
        <w:tab/>
      </w:r>
      <w:r>
        <w:rPr>
          <w:rFonts w:ascii="Times New Roman" w:hAnsi="Times New Roman"/>
        </w:rPr>
        <w:t>stdDevClock-r17</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INTEGER (0..255),</w:t>
      </w:r>
    </w:p>
    <w:p>
      <w:pPr>
        <w:pStyle w:val="83"/>
        <w:snapToGrid w:val="0"/>
        <w:spacing w:after="0" w:line="240" w:lineRule="auto"/>
        <w:ind w:left="1321" w:hanging="442"/>
        <w:rPr>
          <w:rFonts w:ascii="Times New Roman" w:hAnsi="Times New Roman"/>
        </w:rPr>
      </w:pPr>
      <w:r>
        <w:rPr>
          <w:rFonts w:ascii="Times New Roman" w:hAnsi="Times New Roman"/>
        </w:rPr>
        <w:tab/>
      </w:r>
      <w:r>
        <w:rPr>
          <w:rFonts w:ascii="Times New Roman" w:hAnsi="Times New Roman"/>
        </w:rPr>
        <w:t>meanClockRate-r17</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INTEGER (0..255),</w:t>
      </w:r>
    </w:p>
    <w:p>
      <w:pPr>
        <w:pStyle w:val="83"/>
        <w:snapToGrid w:val="0"/>
        <w:spacing w:after="0" w:line="240" w:lineRule="auto"/>
        <w:ind w:left="1321" w:hanging="442"/>
        <w:rPr>
          <w:rFonts w:ascii="Times New Roman" w:hAnsi="Times New Roman"/>
        </w:rPr>
      </w:pPr>
      <w:r>
        <w:rPr>
          <w:rFonts w:ascii="Times New Roman" w:hAnsi="Times New Roman"/>
        </w:rPr>
        <w:tab/>
      </w:r>
      <w:r>
        <w:rPr>
          <w:rFonts w:ascii="Times New Roman" w:hAnsi="Times New Roman"/>
        </w:rPr>
        <w:t>stdDevClockRate-r17</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INTEGER (0..255),</w:t>
      </w:r>
    </w:p>
    <w:p>
      <w:pPr>
        <w:pStyle w:val="83"/>
        <w:snapToGrid w:val="0"/>
        <w:spacing w:after="0" w:line="240" w:lineRule="auto"/>
        <w:ind w:left="1321" w:hanging="442"/>
        <w:rPr>
          <w:rFonts w:ascii="Times New Roman" w:hAnsi="Times New Roman"/>
        </w:rPr>
      </w:pPr>
      <w:r>
        <w:rPr>
          <w:rFonts w:ascii="Times New Roman" w:hAnsi="Times New Roman"/>
        </w:rPr>
        <w:tab/>
      </w:r>
      <w:r>
        <w:rPr>
          <w:rFonts w:ascii="Times New Roman" w:hAnsi="Times New Roman"/>
        </w:rPr>
        <w:t>...</w:t>
      </w:r>
    </w:p>
    <w:p>
      <w:pPr>
        <w:pStyle w:val="83"/>
        <w:snapToGrid w:val="0"/>
        <w:spacing w:after="0" w:line="240" w:lineRule="auto"/>
        <w:ind w:left="1321" w:hanging="442"/>
        <w:rPr>
          <w:rFonts w:ascii="Times New Roman" w:hAnsi="Times New Roman"/>
        </w:rPr>
      </w:pPr>
      <w:r>
        <w:rPr>
          <w:rFonts w:ascii="Times New Roman" w:hAnsi="Times New Roman"/>
        </w:rPr>
        <w:t>}</w:t>
      </w:r>
    </w:p>
    <w:p>
      <w:pPr>
        <w:snapToGrid w:val="0"/>
        <w:spacing w:before="50" w:after="50" w:line="240" w:lineRule="auto"/>
        <w:rPr>
          <w:rFonts w:ascii="Times New Roman" w:hAnsi="Times New Roman" w:eastAsia="宋体"/>
          <w:sz w:val="20"/>
          <w:szCs w:val="20"/>
        </w:rPr>
      </w:pPr>
      <w:r>
        <w:rPr>
          <w:rFonts w:ascii="Times New Roman" w:hAnsi="Times New Roman" w:eastAsia="宋体"/>
          <w:sz w:val="20"/>
          <w:szCs w:val="20"/>
        </w:rPr>
        <w:t xml:space="preserve">Then, UE </w:t>
      </w:r>
      <w:r>
        <w:rPr>
          <w:rFonts w:hint="eastAsia" w:ascii="Times New Roman" w:hAnsi="Times New Roman" w:eastAsia="宋体"/>
          <w:sz w:val="20"/>
          <w:szCs w:val="20"/>
        </w:rPr>
        <w:t>ca</w:t>
      </w:r>
      <w:r>
        <w:rPr>
          <w:rFonts w:hint="eastAsia" w:ascii="Times New Roman" w:hAnsi="Times New Roman" w:eastAsia="宋体"/>
          <w:sz w:val="20"/>
          <w:szCs w:val="20"/>
          <w:lang w:val="en-US" w:eastAsia="zh-CN"/>
        </w:rPr>
        <w:t>l</w:t>
      </w:r>
      <w:r>
        <w:rPr>
          <w:rFonts w:hint="eastAsia" w:ascii="Times New Roman" w:hAnsi="Times New Roman" w:eastAsia="宋体"/>
          <w:sz w:val="20"/>
          <w:szCs w:val="20"/>
        </w:rPr>
        <w:t>culates</w:t>
      </w:r>
      <w:r>
        <w:rPr>
          <w:rFonts w:ascii="Times New Roman" w:hAnsi="Times New Roman" w:eastAsia="宋体"/>
          <w:sz w:val="20"/>
          <w:szCs w:val="20"/>
        </w:rPr>
        <w:t xml:space="preserve"> and </w:t>
      </w:r>
      <w:r>
        <w:rPr>
          <w:rFonts w:hint="eastAsia" w:ascii="Times New Roman" w:hAnsi="Times New Roman" w:eastAsia="宋体"/>
          <w:sz w:val="20"/>
          <w:szCs w:val="20"/>
        </w:rPr>
        <w:t>reports</w:t>
      </w:r>
      <w:r>
        <w:rPr>
          <w:rFonts w:ascii="Times New Roman" w:hAnsi="Times New Roman" w:eastAsia="宋体"/>
          <w:sz w:val="20"/>
          <w:szCs w:val="20"/>
        </w:rPr>
        <w:t xml:space="preserve"> the horizontal PL, vertical PL and achievable target integrity risk.</w:t>
      </w:r>
    </w:p>
    <w:p>
      <w:pPr>
        <w:pStyle w:val="3"/>
        <w:snapToGrid w:val="0"/>
        <w:spacing w:line="240" w:lineRule="auto"/>
        <w:rPr>
          <w:sz w:val="24"/>
          <w:szCs w:val="24"/>
        </w:rPr>
      </w:pPr>
      <w:r>
        <w:rPr>
          <w:sz w:val="24"/>
          <w:szCs w:val="24"/>
        </w:rPr>
        <w:t>2.2 Views on integrity for RAT dependent positioning</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Basically, positioning integrity is a measure of the trust in the accuracy of the position-related data provided by the positioning system and the ability to provide timely and valid warnings to the LCS client when the positioning system does not fulfil the condition for intended operation. Hence, it is beneficial to extend the integrity procedure for A-GNSS to RAT dependent positioning including all wireless positioning methods defined in Rel-16 and 17, so that the integrity can enable applications or LCS client to make the correct decisions. </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For example, when wireless positioning system cannot provide enough accurate positioning service for an automatic driving use case, it can trigger feared event report to LCS client for warning, and then driving mode can be switched to manual driving for safety.  </w:t>
      </w:r>
    </w:p>
    <w:p>
      <w:pPr>
        <w:autoSpaceDE w:val="0"/>
        <w:autoSpaceDN w:val="0"/>
        <w:adjustRightInd w:val="0"/>
        <w:snapToGrid w:val="0"/>
        <w:spacing w:before="50" w:after="50" w:line="240" w:lineRule="auto"/>
        <w:jc w:val="both"/>
        <w:rPr>
          <w:i/>
          <w:sz w:val="20"/>
          <w:szCs w:val="20"/>
        </w:rPr>
      </w:pPr>
      <w:r>
        <w:rPr>
          <w:rFonts w:ascii="Times New Roman" w:hAnsi="Times New Roman" w:eastAsia="宋体"/>
          <w:b/>
          <w:i/>
          <w:sz w:val="20"/>
          <w:szCs w:val="20"/>
        </w:rPr>
        <w:t>Observation 1:</w:t>
      </w:r>
      <w:r>
        <w:rPr>
          <w:rFonts w:ascii="Times New Roman" w:hAnsi="Times New Roman" w:eastAsia="宋体"/>
          <w:i/>
          <w:sz w:val="20"/>
          <w:szCs w:val="20"/>
        </w:rPr>
        <w:t xml:space="preserve"> It is beneficial to extend the integrity procedure for A-GNSS to RAT dependent positioning in Rel-18, so that the integrity can enable LCS client to make the correct decisions.</w:t>
      </w:r>
      <w:r>
        <w:rPr>
          <w:rFonts w:ascii="Times New Roman" w:hAnsi="Times New Roman" w:eastAsia="宋体"/>
          <w:sz w:val="20"/>
          <w:szCs w:val="20"/>
        </w:rPr>
        <w:t xml:space="preserve"> </w:t>
      </w:r>
    </w:p>
    <w:p>
      <w:pPr>
        <w:snapToGrid w:val="0"/>
        <w:spacing w:before="50" w:after="50" w:line="240" w:lineRule="auto"/>
        <w:jc w:val="both"/>
        <w:rPr>
          <w:sz w:val="20"/>
          <w:szCs w:val="20"/>
        </w:rPr>
      </w:pP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In order to extend positioning integrity to RAN-dependent positioning methods, feared event error sources and error models should be discussed. In our view, error sources and error models should be separately discussed for different positioning methods at least considering the following aspects</w:t>
      </w:r>
    </w:p>
    <w:p>
      <w:pPr>
        <w:widowControl w:val="0"/>
        <w:numPr>
          <w:ilvl w:val="1"/>
          <w:numId w:val="6"/>
        </w:numPr>
        <w:snapToGrid w:val="0"/>
        <w:spacing w:before="50" w:after="50" w:line="240" w:lineRule="auto"/>
        <w:jc w:val="both"/>
        <w:rPr>
          <w:rFonts w:ascii="Times New Roman" w:hAnsi="Times New Roman"/>
          <w:sz w:val="20"/>
          <w:szCs w:val="20"/>
        </w:rPr>
      </w:pPr>
      <w:r>
        <w:rPr>
          <w:rFonts w:ascii="Times New Roman" w:hAnsi="Times New Roman"/>
          <w:sz w:val="20"/>
          <w:szCs w:val="20"/>
        </w:rPr>
        <w:t xml:space="preserve">PRS/SRS measuring error at UE side or gNB side; </w:t>
      </w:r>
    </w:p>
    <w:p>
      <w:pPr>
        <w:widowControl w:val="0"/>
        <w:numPr>
          <w:ilvl w:val="1"/>
          <w:numId w:val="6"/>
        </w:numPr>
        <w:snapToGrid w:val="0"/>
        <w:spacing w:before="50" w:after="50" w:line="240" w:lineRule="auto"/>
        <w:jc w:val="both"/>
        <w:rPr>
          <w:rFonts w:ascii="Times New Roman" w:hAnsi="Times New Roman"/>
          <w:sz w:val="20"/>
          <w:szCs w:val="20"/>
        </w:rPr>
      </w:pPr>
      <w:r>
        <w:rPr>
          <w:rFonts w:ascii="Times New Roman" w:hAnsi="Times New Roman"/>
          <w:sz w:val="20"/>
          <w:szCs w:val="20"/>
        </w:rPr>
        <w:t xml:space="preserve">Synchronization error between TRPs; </w:t>
      </w:r>
    </w:p>
    <w:p>
      <w:pPr>
        <w:widowControl w:val="0"/>
        <w:numPr>
          <w:ilvl w:val="2"/>
          <w:numId w:val="6"/>
        </w:numPr>
        <w:tabs>
          <w:tab w:val="left" w:pos="840"/>
        </w:tabs>
        <w:snapToGrid w:val="0"/>
        <w:spacing w:before="50" w:after="50" w:line="240" w:lineRule="auto"/>
        <w:jc w:val="both"/>
        <w:rPr>
          <w:rFonts w:ascii="Times New Roman" w:hAnsi="Times New Roman"/>
          <w:sz w:val="20"/>
          <w:szCs w:val="20"/>
        </w:rPr>
      </w:pPr>
      <w:r>
        <w:rPr>
          <w:rFonts w:ascii="Times New Roman" w:hAnsi="Times New Roman"/>
          <w:sz w:val="20"/>
          <w:szCs w:val="20"/>
        </w:rPr>
        <w:t xml:space="preserve">This may be only for DL and UL TDOA methods. </w:t>
      </w:r>
    </w:p>
    <w:p>
      <w:pPr>
        <w:widowControl w:val="0"/>
        <w:numPr>
          <w:ilvl w:val="1"/>
          <w:numId w:val="6"/>
        </w:numPr>
        <w:snapToGrid w:val="0"/>
        <w:spacing w:before="50" w:after="50" w:line="240" w:lineRule="auto"/>
        <w:jc w:val="both"/>
        <w:rPr>
          <w:rFonts w:ascii="Times New Roman" w:hAnsi="Times New Roman"/>
          <w:sz w:val="20"/>
          <w:szCs w:val="20"/>
        </w:rPr>
      </w:pPr>
      <w:r>
        <w:rPr>
          <w:rFonts w:ascii="Times New Roman" w:hAnsi="Times New Roman"/>
          <w:sz w:val="20"/>
          <w:szCs w:val="20"/>
        </w:rPr>
        <w:t>Timing error between baseband and Antenna in which UE/TRP do not have the capability to calibrate;</w:t>
      </w:r>
    </w:p>
    <w:p>
      <w:pPr>
        <w:widowControl w:val="0"/>
        <w:numPr>
          <w:ilvl w:val="1"/>
          <w:numId w:val="6"/>
        </w:numPr>
        <w:snapToGrid w:val="0"/>
        <w:spacing w:before="50" w:after="50" w:line="240" w:lineRule="auto"/>
        <w:jc w:val="both"/>
        <w:rPr>
          <w:rFonts w:ascii="Times New Roman" w:hAnsi="Times New Roman"/>
          <w:sz w:val="20"/>
          <w:szCs w:val="20"/>
        </w:rPr>
      </w:pPr>
      <w:r>
        <w:rPr>
          <w:rFonts w:ascii="Times New Roman" w:hAnsi="Times New Roman"/>
          <w:sz w:val="20"/>
          <w:szCs w:val="20"/>
        </w:rPr>
        <w:t>Hardware errors of TRP and/or UE</w:t>
      </w:r>
    </w:p>
    <w:p>
      <w:pPr>
        <w:widowControl w:val="0"/>
        <w:numPr>
          <w:ilvl w:val="1"/>
          <w:numId w:val="6"/>
        </w:numPr>
        <w:snapToGrid w:val="0"/>
        <w:spacing w:before="50" w:after="50" w:line="240" w:lineRule="auto"/>
        <w:jc w:val="both"/>
        <w:rPr>
          <w:rFonts w:ascii="Times New Roman" w:hAnsi="Times New Roman"/>
          <w:sz w:val="20"/>
          <w:szCs w:val="20"/>
        </w:rPr>
      </w:pPr>
      <w:r>
        <w:rPr>
          <w:rFonts w:ascii="Times New Roman" w:hAnsi="Times New Roman"/>
          <w:sz w:val="20"/>
          <w:szCs w:val="20"/>
        </w:rPr>
        <w:t>Software errors of TRP and/or UE</w:t>
      </w:r>
    </w:p>
    <w:p>
      <w:pPr>
        <w:widowControl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For each error source, we think </w:t>
      </w:r>
      <w:r>
        <w:rPr>
          <w:rFonts w:ascii="Times New Roman" w:hAnsi="Times New Roman" w:eastAsia="宋体"/>
          <w:sz w:val="20"/>
          <w:szCs w:val="20"/>
        </w:rPr>
        <w:t xml:space="preserve">Gaussian distribution can still be assumed as similar as for A-GNSS. </w:t>
      </w:r>
    </w:p>
    <w:p>
      <w:pPr>
        <w:widowControl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Moreover, we think support of both LMF-based and UE-based integrity is needed. LMF-based positioning integrity can be at least used in multi-RTT and UL-TDOA method. </w:t>
      </w:r>
    </w:p>
    <w:p>
      <w:pPr>
        <w:snapToGrid w:val="0"/>
        <w:spacing w:before="180" w:beforeLines="50" w:after="180" w:afterLines="50" w:line="240" w:lineRule="auto"/>
        <w:jc w:val="both"/>
        <w:rPr>
          <w:rFonts w:ascii="Times New Roman" w:hAnsi="Times New Roman" w:eastAsia="宋体"/>
          <w:i/>
          <w:sz w:val="21"/>
          <w:szCs w:val="21"/>
        </w:rPr>
      </w:pPr>
      <w:r>
        <w:rPr>
          <w:rFonts w:ascii="Times New Roman" w:hAnsi="Times New Roman" w:eastAsia="宋体"/>
          <w:b/>
          <w:i/>
          <w:sz w:val="20"/>
          <w:szCs w:val="20"/>
        </w:rPr>
        <w:t>Proposal 1:</w:t>
      </w:r>
      <w:r>
        <w:rPr>
          <w:rFonts w:ascii="Times New Roman" w:hAnsi="Times New Roman" w:eastAsia="宋体"/>
          <w:i/>
          <w:sz w:val="20"/>
          <w:szCs w:val="20"/>
        </w:rPr>
        <w:t xml:space="preserve"> For positioning integrity to RAN-dependent positioning methods, feared event error sources and error models should be studied. The error sources can include </w:t>
      </w:r>
      <w:r>
        <w:rPr>
          <w:rFonts w:ascii="Times New Roman" w:hAnsi="Times New Roman"/>
          <w:i/>
          <w:sz w:val="20"/>
          <w:szCs w:val="20"/>
        </w:rPr>
        <w:t xml:space="preserve">PRS/SRS measuring error at UE side or gNB side, synchronization error between TRPs, </w:t>
      </w:r>
      <w:r>
        <w:rPr>
          <w:rFonts w:hint="eastAsia" w:ascii="Times New Roman" w:hAnsi="Times New Roman"/>
          <w:i/>
          <w:sz w:val="20"/>
          <w:szCs w:val="20"/>
        </w:rPr>
        <w:t>T</w:t>
      </w:r>
      <w:r>
        <w:rPr>
          <w:rFonts w:ascii="Times New Roman" w:hAnsi="Times New Roman"/>
          <w:i/>
          <w:sz w:val="20"/>
          <w:szCs w:val="20"/>
        </w:rPr>
        <w:t>iming error between baseband and Antenna in which UE/TRP do not have the capability to calibrate</w:t>
      </w:r>
      <w:r>
        <w:rPr>
          <w:rFonts w:ascii="Times New Roman" w:hAnsi="Times New Roman"/>
          <w:sz w:val="20"/>
          <w:szCs w:val="20"/>
        </w:rPr>
        <w:t>.</w:t>
      </w:r>
      <w:r>
        <w:rPr>
          <w:rFonts w:ascii="Times New Roman" w:hAnsi="Times New Roman" w:eastAsia="宋体"/>
          <w:i/>
          <w:sz w:val="20"/>
          <w:szCs w:val="20"/>
        </w:rPr>
        <w:t xml:space="preserve"> </w:t>
      </w:r>
    </w:p>
    <w:p>
      <w:pPr>
        <w:snapToGrid w:val="0"/>
        <w:spacing w:after="0" w:line="240" w:lineRule="auto"/>
        <w:jc w:val="both"/>
        <w:rPr>
          <w:i/>
          <w:sz w:val="20"/>
        </w:rPr>
      </w:pPr>
    </w:p>
    <w:p>
      <w:pPr>
        <w:pStyle w:val="2"/>
        <w:snapToGrid w:val="0"/>
        <w:spacing w:before="120" w:after="180" w:afterLines="50"/>
        <w:ind w:left="431" w:hanging="431"/>
        <w:jc w:val="both"/>
        <w:rPr>
          <w:sz w:val="28"/>
          <w:lang w:val="en-US"/>
        </w:rPr>
      </w:pPr>
      <w:r>
        <w:rPr>
          <w:rFonts w:hint="eastAsia"/>
          <w:sz w:val="28"/>
          <w:lang w:val="en-US"/>
        </w:rPr>
        <w:t>Conclusion</w:t>
      </w:r>
    </w:p>
    <w:p>
      <w:pPr>
        <w:autoSpaceDE w:val="0"/>
        <w:autoSpaceDN w:val="0"/>
        <w:adjustRightInd w:val="0"/>
        <w:snapToGrid w:val="0"/>
        <w:spacing w:after="120" w:line="240" w:lineRule="auto"/>
        <w:jc w:val="both"/>
        <w:rPr>
          <w:rFonts w:ascii="Times New Roman" w:hAnsi="Times New Roman" w:eastAsia="宋体"/>
          <w:sz w:val="20"/>
          <w:szCs w:val="20"/>
        </w:rPr>
      </w:pPr>
      <w:r>
        <w:rPr>
          <w:rFonts w:ascii="Times New Roman" w:hAnsi="Times New Roman" w:eastAsia="宋体"/>
          <w:sz w:val="20"/>
          <w:szCs w:val="20"/>
        </w:rPr>
        <w:t xml:space="preserve">In this contribution, we </w:t>
      </w:r>
      <w:r>
        <w:rPr>
          <w:rFonts w:ascii="Times New Roman" w:hAnsi="Times New Roman"/>
          <w:iCs/>
          <w:sz w:val="20"/>
          <w:szCs w:val="20"/>
        </w:rPr>
        <w:t>provide</w:t>
      </w:r>
      <w:r>
        <w:rPr>
          <w:rFonts w:hint="eastAsia" w:ascii="Times New Roman" w:hAnsi="Times New Roman"/>
          <w:iCs/>
          <w:sz w:val="20"/>
          <w:szCs w:val="20"/>
        </w:rPr>
        <w:t xml:space="preserve"> our views on </w:t>
      </w:r>
      <w:r>
        <w:rPr>
          <w:rFonts w:ascii="Times New Roman" w:hAnsi="Times New Roman"/>
          <w:iCs/>
          <w:sz w:val="20"/>
          <w:szCs w:val="20"/>
        </w:rPr>
        <w:t>this integrity issue for RAT dependent positioning techniques</w:t>
      </w:r>
    </w:p>
    <w:p>
      <w:pPr>
        <w:autoSpaceDE w:val="0"/>
        <w:autoSpaceDN w:val="0"/>
        <w:adjustRightInd w:val="0"/>
        <w:snapToGrid w:val="0"/>
        <w:spacing w:before="180" w:beforeLines="50" w:after="180" w:afterLines="50" w:line="240" w:lineRule="auto"/>
        <w:jc w:val="both"/>
        <w:rPr>
          <w:i/>
          <w:sz w:val="20"/>
          <w:szCs w:val="20"/>
        </w:rPr>
      </w:pPr>
      <w:r>
        <w:rPr>
          <w:rFonts w:ascii="Times New Roman" w:hAnsi="Times New Roman" w:eastAsia="宋体"/>
          <w:b/>
          <w:i/>
          <w:sz w:val="20"/>
          <w:szCs w:val="20"/>
        </w:rPr>
        <w:t>Observation 1:</w:t>
      </w:r>
      <w:r>
        <w:rPr>
          <w:rFonts w:ascii="Times New Roman" w:hAnsi="Times New Roman" w:eastAsia="宋体"/>
          <w:i/>
          <w:sz w:val="20"/>
          <w:szCs w:val="20"/>
        </w:rPr>
        <w:t xml:space="preserve"> It is beneficial to extend the integrity procedure for A-GNSS to RAT dependent positioning in Rel-18, so that the integrity can enable LCS client to make the correct decisions.</w:t>
      </w:r>
      <w:r>
        <w:rPr>
          <w:rFonts w:ascii="Times New Roman" w:hAnsi="Times New Roman" w:eastAsia="宋体"/>
          <w:sz w:val="20"/>
          <w:szCs w:val="20"/>
        </w:rPr>
        <w:t xml:space="preserve"> </w:t>
      </w:r>
    </w:p>
    <w:p>
      <w:pPr>
        <w:snapToGrid w:val="0"/>
        <w:spacing w:before="180" w:beforeLines="50" w:after="180" w:afterLines="50" w:line="240" w:lineRule="auto"/>
        <w:jc w:val="both"/>
        <w:rPr>
          <w:rFonts w:ascii="Times New Roman" w:hAnsi="Times New Roman" w:eastAsia="宋体"/>
          <w:i/>
          <w:sz w:val="20"/>
          <w:szCs w:val="20"/>
        </w:rPr>
      </w:pPr>
      <w:r>
        <w:rPr>
          <w:rFonts w:ascii="Times New Roman" w:hAnsi="Times New Roman" w:eastAsia="宋体"/>
          <w:b/>
          <w:i/>
          <w:sz w:val="20"/>
          <w:szCs w:val="20"/>
        </w:rPr>
        <w:t>Proposal 1:</w:t>
      </w:r>
      <w:r>
        <w:rPr>
          <w:rFonts w:ascii="Times New Roman" w:hAnsi="Times New Roman" w:eastAsia="宋体"/>
          <w:i/>
          <w:sz w:val="20"/>
          <w:szCs w:val="20"/>
        </w:rPr>
        <w:t xml:space="preserve"> For positioning integrity to RAN-dependent positioning methods, feared event error sources and error models should be studied. The error sources can include </w:t>
      </w:r>
      <w:r>
        <w:rPr>
          <w:rFonts w:ascii="Times New Roman" w:hAnsi="Times New Roman"/>
          <w:i/>
          <w:sz w:val="20"/>
          <w:szCs w:val="20"/>
        </w:rPr>
        <w:t xml:space="preserve">PRS/SRS measuring error at UE side or gNB side, synchronization error between TRPs, </w:t>
      </w:r>
      <w:r>
        <w:rPr>
          <w:rFonts w:hint="eastAsia" w:ascii="Times New Roman" w:hAnsi="Times New Roman"/>
          <w:i/>
          <w:sz w:val="20"/>
          <w:szCs w:val="20"/>
        </w:rPr>
        <w:t>T</w:t>
      </w:r>
      <w:r>
        <w:rPr>
          <w:rFonts w:ascii="Times New Roman" w:hAnsi="Times New Roman"/>
          <w:i/>
          <w:sz w:val="20"/>
          <w:szCs w:val="20"/>
        </w:rPr>
        <w:t>iming error between baseband and Antenna in which UE/TRP do not have the capability to calibrate</w:t>
      </w:r>
      <w:r>
        <w:rPr>
          <w:rFonts w:ascii="Times New Roman" w:hAnsi="Times New Roman"/>
          <w:sz w:val="20"/>
          <w:szCs w:val="20"/>
        </w:rPr>
        <w:t>.</w:t>
      </w:r>
      <w:r>
        <w:rPr>
          <w:rFonts w:ascii="Times New Roman" w:hAnsi="Times New Roman" w:eastAsia="宋体"/>
          <w:i/>
          <w:sz w:val="20"/>
          <w:szCs w:val="20"/>
        </w:rPr>
        <w:t xml:space="preserve"> </w:t>
      </w:r>
    </w:p>
    <w:p>
      <w:pPr>
        <w:autoSpaceDE w:val="0"/>
        <w:autoSpaceDN w:val="0"/>
        <w:adjustRightInd w:val="0"/>
        <w:snapToGrid w:val="0"/>
        <w:spacing w:after="120" w:line="240" w:lineRule="auto"/>
        <w:jc w:val="both"/>
        <w:rPr>
          <w:rFonts w:ascii="Times New Roman" w:hAnsi="Times New Roman" w:eastAsia="宋体"/>
          <w:bCs/>
          <w:sz w:val="20"/>
          <w:szCs w:val="20"/>
          <w:lang w:eastAsia="ko-KR"/>
        </w:rPr>
      </w:pPr>
    </w:p>
    <w:p>
      <w:pPr>
        <w:pStyle w:val="2"/>
        <w:snapToGrid w:val="0"/>
        <w:spacing w:before="120" w:after="180" w:afterLines="50"/>
        <w:ind w:left="431" w:hanging="431"/>
        <w:jc w:val="both"/>
        <w:rPr>
          <w:sz w:val="28"/>
          <w:lang w:val="en-US"/>
        </w:rPr>
      </w:pPr>
      <w:r>
        <w:rPr>
          <w:rFonts w:hint="eastAsia"/>
          <w:sz w:val="28"/>
          <w:lang w:val="en-US"/>
        </w:rPr>
        <w:t>Reference</w:t>
      </w:r>
    </w:p>
    <w:p>
      <w:pPr>
        <w:numPr>
          <w:ilvl w:val="0"/>
          <w:numId w:val="7"/>
        </w:numPr>
        <w:autoSpaceDE w:val="0"/>
        <w:autoSpaceDN w:val="0"/>
        <w:adjustRightInd w:val="0"/>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RP-2135</w:t>
      </w:r>
      <w:r>
        <w:rPr>
          <w:rFonts w:ascii="Times New Roman" w:hAnsi="Times New Roman" w:eastAsia="宋体"/>
          <w:sz w:val="20"/>
          <w:szCs w:val="20"/>
        </w:rPr>
        <w:t>88</w:t>
      </w:r>
      <w:r>
        <w:rPr>
          <w:rFonts w:hint="eastAsia" w:ascii="Times New Roman" w:hAnsi="Times New Roman" w:eastAsia="宋体"/>
          <w:sz w:val="20"/>
          <w:szCs w:val="20"/>
        </w:rPr>
        <w:t xml:space="preserve"> </w:t>
      </w:r>
      <w:r>
        <w:rPr>
          <w:rFonts w:ascii="Times New Roman" w:hAnsi="Times New Roman" w:eastAsia="宋体"/>
          <w:sz w:val="20"/>
          <w:szCs w:val="20"/>
        </w:rPr>
        <w:t>Revised SID on Study on expanded and improved NR positioning</w:t>
      </w:r>
      <w:r>
        <w:rPr>
          <w:rFonts w:hint="eastAsia" w:ascii="Times New Roman" w:hAnsi="Times New Roman" w:eastAsia="宋体"/>
          <w:sz w:val="20"/>
          <w:szCs w:val="20"/>
        </w:rPr>
        <w:t>,</w:t>
      </w:r>
      <w:r>
        <w:rPr>
          <w:rFonts w:ascii="Times New Roman" w:hAnsi="Times New Roman" w:eastAsia="宋体"/>
          <w:sz w:val="20"/>
          <w:szCs w:val="20"/>
        </w:rPr>
        <w:t xml:space="preserve"> </w:t>
      </w:r>
      <w:r>
        <w:rPr>
          <w:rFonts w:hint="eastAsia" w:ascii="Times New Roman" w:hAnsi="Times New Roman" w:eastAsia="宋体"/>
          <w:sz w:val="20"/>
          <w:szCs w:val="20"/>
        </w:rPr>
        <w:t>RAN#94e</w:t>
      </w:r>
    </w:p>
    <w:p>
      <w:pPr>
        <w:numPr>
          <w:ilvl w:val="0"/>
          <w:numId w:val="7"/>
        </w:numPr>
        <w:autoSpaceDE w:val="0"/>
        <w:autoSpaceDN w:val="0"/>
        <w:adjustRightInd w:val="0"/>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3</w:t>
      </w:r>
      <w:r>
        <w:rPr>
          <w:rFonts w:ascii="Times New Roman" w:hAnsi="Times New Roman" w:eastAsia="宋体"/>
          <w:sz w:val="20"/>
          <w:szCs w:val="20"/>
        </w:rPr>
        <w:t>8.857-200, Study on NR Positioning Enhancements (Release 17)</w:t>
      </w:r>
    </w:p>
    <w:p>
      <w:pPr>
        <w:numPr>
          <w:ilvl w:val="0"/>
          <w:numId w:val="7"/>
        </w:numPr>
        <w:autoSpaceDE w:val="0"/>
        <w:autoSpaceDN w:val="0"/>
        <w:adjustRightInd w:val="0"/>
        <w:snapToGrid w:val="0"/>
        <w:spacing w:after="120" w:line="240" w:lineRule="auto"/>
        <w:jc w:val="both"/>
        <w:rPr>
          <w:rFonts w:ascii="Times New Roman" w:hAnsi="Times New Roman" w:eastAsia="宋体"/>
          <w:sz w:val="20"/>
          <w:szCs w:val="20"/>
        </w:rPr>
      </w:pPr>
      <w:r>
        <w:rPr>
          <w:rFonts w:ascii="Times New Roman" w:hAnsi="Times New Roman" w:eastAsia="宋体"/>
          <w:sz w:val="20"/>
          <w:szCs w:val="20"/>
        </w:rPr>
        <w:t>37.355 running CRs</w:t>
      </w:r>
      <w:r>
        <w:rPr>
          <w:rFonts w:hint="eastAsia" w:ascii="Times New Roman" w:hAnsi="Times New Roman" w:eastAsia="宋体"/>
          <w:sz w:val="20"/>
          <w:szCs w:val="20"/>
        </w:rPr>
        <w:t>:</w:t>
      </w:r>
      <w:r>
        <w:rPr>
          <w:rFonts w:ascii="Times New Roman" w:hAnsi="Times New Roman" w:eastAsia="宋体"/>
          <w:sz w:val="20"/>
          <w:szCs w:val="20"/>
        </w:rPr>
        <w:t xml:space="preserve"> R2-2203315_(37355 running CR)_v10a</w:t>
      </w:r>
    </w:p>
    <w:p>
      <w:pPr>
        <w:autoSpaceDE w:val="0"/>
        <w:autoSpaceDN w:val="0"/>
        <w:adjustRightInd w:val="0"/>
        <w:snapToGrid w:val="0"/>
        <w:spacing w:after="120" w:line="240" w:lineRule="auto"/>
        <w:jc w:val="both"/>
        <w:rPr>
          <w:rFonts w:ascii="Times New Roman" w:hAnsi="Times New Roman" w:eastAsia="宋体"/>
          <w:sz w:val="20"/>
          <w:szCs w:val="20"/>
        </w:rPr>
      </w:pPr>
    </w:p>
    <w:p>
      <w:pPr>
        <w:pStyle w:val="2"/>
        <w:snapToGrid w:val="0"/>
        <w:spacing w:before="120" w:after="180" w:afterLines="50"/>
        <w:ind w:left="431" w:hanging="431"/>
        <w:jc w:val="both"/>
        <w:rPr>
          <w:sz w:val="28"/>
          <w:lang w:val="en-US"/>
        </w:rPr>
      </w:pPr>
      <w:r>
        <w:rPr>
          <w:rFonts w:hint="eastAsia"/>
          <w:sz w:val="28"/>
          <w:lang w:val="en-US"/>
        </w:rPr>
        <w:t>Appendix</w:t>
      </w:r>
    </w:p>
    <w:tbl>
      <w:tblPr>
        <w:tblStyle w:val="24"/>
        <w:tblW w:w="96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57" w:hRule="atLeast"/>
        </w:trPr>
        <w:tc>
          <w:tcPr>
            <w:tcW w:w="9630" w:type="dxa"/>
          </w:tcPr>
          <w:p>
            <w:pPr>
              <w:widowControl w:val="0"/>
              <w:numPr>
                <w:ilvl w:val="0"/>
                <w:numId w:val="8"/>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RAN2 agrees that the PL will be reported in the Integrity Results. It is FFS whether Mode 2 and the TIR, AL, TTA that were used in the integrity calculation will also be reported in the integrity results.</w:t>
            </w:r>
          </w:p>
          <w:p>
            <w:pPr>
              <w:widowControl w:val="0"/>
              <w:numPr>
                <w:ilvl w:val="0"/>
                <w:numId w:val="8"/>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RAN2 agrees to use Common Positioning IEs to transfer the KPIs and Integrity Results.</w:t>
            </w:r>
          </w:p>
          <w:p>
            <w:pPr>
              <w:widowControl w:val="0"/>
              <w:numPr>
                <w:ilvl w:val="0"/>
                <w:numId w:val="8"/>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RAN2 agrees that the LPP procedures can be used to transfer the KPIs and Integrity Results. For UE-assisted, the LCS procedures remain FFS in the case of MO-LR.</w:t>
            </w:r>
          </w:p>
          <w:p>
            <w:pPr>
              <w:widowControl w:val="0"/>
              <w:numPr>
                <w:ilvl w:val="0"/>
                <w:numId w:val="8"/>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RAN2 confirms that LPP messages RequestLocationInformation and ProvideLocationInformation are used to transfer integrity KPIs/results, respectively, for GNSS positioning at least for UE-based mode.</w:t>
            </w:r>
          </w:p>
          <w:p>
            <w:pPr>
              <w:widowControl w:val="0"/>
              <w:numPr>
                <w:ilvl w:val="0"/>
                <w:numId w:val="8"/>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RAN2 confirms that LPP messages RequestAssistanceData and ProvideAssistanceData are used to transfer integrity assistance data for GNSS positioning at least for UE-based mode.</w:t>
            </w:r>
          </w:p>
        </w:tc>
      </w:tr>
    </w:tbl>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0" distR="0">
            <wp:extent cx="4620895" cy="187071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620895" cy="1870710"/>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Figure 3. LPP assistance data transfer</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0" distR="0">
            <wp:extent cx="4620895" cy="187071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620895" cy="1870710"/>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Figure 4. LPP location result transfer</w:t>
      </w:r>
    </w:p>
    <w:p>
      <w:pPr>
        <w:widowControl w:val="0"/>
        <w:numPr>
          <w:ilvl w:val="0"/>
          <w:numId w:val="9"/>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u w:val="single"/>
        </w:rPr>
        <w:t>MO-LR &amp; UE based</w:t>
      </w:r>
      <w:r>
        <w:rPr>
          <w:rFonts w:ascii="Times New Roman" w:hAnsi="Times New Roman"/>
          <w:sz w:val="20"/>
          <w:szCs w:val="20"/>
        </w:rPr>
        <w:t xml:space="preserve"> positioning integrity determination (UE initiates the positioning request and integrity computing entity is UE)</w:t>
      </w:r>
    </w:p>
    <w:p>
      <w:pPr>
        <w:widowControl w:val="0"/>
        <w:numPr>
          <w:ilvl w:val="1"/>
          <w:numId w:val="9"/>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LMF tells UE the assistance data of feared events used to calculate PL(via A-GNSS-ProvideAssistanceData)</w:t>
      </w:r>
    </w:p>
    <w:p>
      <w:pPr>
        <w:widowControl w:val="0"/>
        <w:numPr>
          <w:ilvl w:val="1"/>
          <w:numId w:val="9"/>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UE calculates PL after UE obtain measurement results</w:t>
      </w:r>
    </w:p>
    <w:p>
      <w:pPr>
        <w:widowControl w:val="0"/>
        <w:numPr>
          <w:ilvl w:val="1"/>
          <w:numId w:val="9"/>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UE knows KPIs, and determines positioning integrity by itself</w:t>
      </w:r>
    </w:p>
    <w:p>
      <w:pPr>
        <w:widowControl w:val="0"/>
        <w:numPr>
          <w:ilvl w:val="0"/>
          <w:numId w:val="10"/>
        </w:numPr>
        <w:snapToGrid w:val="0"/>
        <w:spacing w:before="180" w:beforeLines="50" w:after="180" w:afterLines="50" w:line="240" w:lineRule="auto"/>
        <w:jc w:val="both"/>
        <w:rPr>
          <w:rFonts w:ascii="Times New Roman" w:hAnsi="Times New Roman"/>
          <w:sz w:val="20"/>
          <w:szCs w:val="20"/>
          <w:u w:val="single"/>
        </w:rPr>
      </w:pPr>
      <w:r>
        <w:rPr>
          <w:rFonts w:ascii="Times New Roman" w:hAnsi="Times New Roman"/>
          <w:sz w:val="20"/>
          <w:szCs w:val="20"/>
          <w:u w:val="single"/>
        </w:rPr>
        <w:t xml:space="preserve">MT-LR &amp; UE based </w:t>
      </w:r>
      <w:r>
        <w:rPr>
          <w:rFonts w:ascii="Times New Roman" w:hAnsi="Times New Roman"/>
          <w:sz w:val="20"/>
          <w:szCs w:val="20"/>
        </w:rPr>
        <w:t>positioning integrity determination (NW/LCS client initiates the positioning request and integrity computing entity is UE)</w:t>
      </w:r>
    </w:p>
    <w:p>
      <w:pPr>
        <w:widowControl w:val="0"/>
        <w:numPr>
          <w:ilvl w:val="1"/>
          <w:numId w:val="9"/>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LMF tells UE the assistance data of feared events used to calculate PL (via A-GNSS-ProvideAssistanceData)</w:t>
      </w:r>
    </w:p>
    <w:p>
      <w:pPr>
        <w:widowControl w:val="0"/>
        <w:numPr>
          <w:ilvl w:val="1"/>
          <w:numId w:val="9"/>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LMF tells UE KPIs (via CommonRequestLocationInformation)</w:t>
      </w:r>
    </w:p>
    <w:p>
      <w:pPr>
        <w:widowControl w:val="0"/>
        <w:numPr>
          <w:ilvl w:val="1"/>
          <w:numId w:val="9"/>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UE calculates PL after UE obtain measurement results</w:t>
      </w:r>
    </w:p>
    <w:p>
      <w:pPr>
        <w:widowControl w:val="0"/>
        <w:numPr>
          <w:ilvl w:val="1"/>
          <w:numId w:val="9"/>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UE should report to LMF:(via CommonProvideProvideLocationInformation)</w:t>
      </w:r>
    </w:p>
    <w:p>
      <w:pPr>
        <w:widowControl w:val="0"/>
        <w:numPr>
          <w:ilvl w:val="2"/>
          <w:numId w:val="9"/>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Mode 1: PL value and achieved TIR</w:t>
      </w:r>
    </w:p>
    <w:p>
      <w:pPr>
        <w:widowControl w:val="0"/>
        <w:numPr>
          <w:ilvl w:val="1"/>
          <w:numId w:val="9"/>
        </w:numPr>
        <w:tabs>
          <w:tab w:val="left" w:pos="1260"/>
          <w:tab w:val="clear" w:pos="840"/>
        </w:tabs>
        <w:snapToGrid w:val="0"/>
        <w:spacing w:before="180" w:beforeLines="50" w:after="180" w:afterLines="50" w:line="240" w:lineRule="auto"/>
        <w:jc w:val="both"/>
        <w:rPr>
          <w:rFonts w:ascii="Times New Roman" w:hAnsi="Times New Roman"/>
          <w:sz w:val="20"/>
          <w:szCs w:val="20"/>
          <w:u w:val="single"/>
        </w:rPr>
      </w:pPr>
      <w:r>
        <w:rPr>
          <w:rFonts w:ascii="Times New Roman" w:hAnsi="Times New Roman"/>
          <w:sz w:val="20"/>
          <w:szCs w:val="20"/>
        </w:rPr>
        <w:t>LMF tells the integrity results to external LCS client</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0FE928"/>
    <w:multiLevelType w:val="multilevel"/>
    <w:tmpl w:val="8F0FE92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98C0DCEB"/>
    <w:multiLevelType w:val="singleLevel"/>
    <w:tmpl w:val="98C0DCEB"/>
    <w:lvl w:ilvl="0" w:tentative="0">
      <w:start w:val="1"/>
      <w:numFmt w:val="decimal"/>
      <w:suff w:val="space"/>
      <w:lvlText w:val="[%1]"/>
      <w:lvlJc w:val="left"/>
    </w:lvl>
  </w:abstractNum>
  <w:abstractNum w:abstractNumId="2">
    <w:nsid w:val="ACB330BB"/>
    <w:multiLevelType w:val="singleLevel"/>
    <w:tmpl w:val="ACB330BB"/>
    <w:lvl w:ilvl="0" w:tentative="0">
      <w:start w:val="1"/>
      <w:numFmt w:val="decimal"/>
      <w:lvlText w:val="%1."/>
      <w:lvlJc w:val="left"/>
      <w:pPr>
        <w:ind w:left="425" w:hanging="425"/>
      </w:pPr>
      <w:rPr>
        <w:rFonts w:hint="default"/>
      </w:rPr>
    </w:lvl>
  </w:abstractNum>
  <w:abstractNum w:abstractNumId="3">
    <w:nsid w:val="BD6D71B5"/>
    <w:multiLevelType w:val="multilevel"/>
    <w:tmpl w:val="BD6D71B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D097BEB6"/>
    <w:multiLevelType w:val="multilevel"/>
    <w:tmpl w:val="D097BEB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19BF9671"/>
    <w:multiLevelType w:val="multilevel"/>
    <w:tmpl w:val="19BF9671"/>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tabs>
          <w:tab w:val="left" w:pos="840"/>
        </w:tabs>
        <w:ind w:left="840" w:hanging="420"/>
      </w:pPr>
      <w:rPr>
        <w:rFonts w:hint="default" w:ascii="Times New Roman" w:hAnsi="Times New Roman" w:cs="Times New Roman"/>
      </w:rPr>
    </w:lvl>
    <w:lvl w:ilvl="2" w:tentative="0">
      <w:start w:val="1"/>
      <w:numFmt w:val="bullet"/>
      <w:lvlText w:val="▪"/>
      <w:lvlJc w:val="left"/>
      <w:pPr>
        <w:tabs>
          <w:tab w:val="left" w:pos="1260"/>
        </w:tabs>
        <w:ind w:left="1260" w:hanging="420"/>
      </w:pPr>
      <w:rPr>
        <w:rFonts w:hint="default" w:ascii="Times New Roman" w:hAnsi="Times New Roman" w:cs="Times New Roman"/>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1A181237"/>
    <w:multiLevelType w:val="multilevel"/>
    <w:tmpl w:val="1A181237"/>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tabs>
          <w:tab w:val="left" w:pos="840"/>
        </w:tabs>
        <w:ind w:left="840" w:hanging="420"/>
      </w:pPr>
      <w:rPr>
        <w:rFonts w:hint="default" w:ascii="Times New Roman" w:hAnsi="Times New Roman" w:cs="Times New Roman"/>
      </w:rPr>
    </w:lvl>
    <w:lvl w:ilvl="2" w:tentative="0">
      <w:start w:val="1"/>
      <w:numFmt w:val="bullet"/>
      <w:lvlText w:val="▪"/>
      <w:lvlJc w:val="left"/>
      <w:pPr>
        <w:tabs>
          <w:tab w:val="left" w:pos="1260"/>
        </w:tabs>
        <w:ind w:left="1260" w:hanging="420"/>
      </w:pPr>
      <w:rPr>
        <w:rFonts w:hint="default" w:ascii="Times New Roman" w:hAnsi="Times New Roman" w:cs="Times New Roman"/>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9">
    <w:nsid w:val="7AE21539"/>
    <w:multiLevelType w:val="multilevel"/>
    <w:tmpl w:val="7AE2153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7"/>
  </w:num>
  <w:num w:numId="3">
    <w:abstractNumId w:val="9"/>
  </w:num>
  <w:num w:numId="4">
    <w:abstractNumId w:val="6"/>
  </w:num>
  <w:num w:numId="5">
    <w:abstractNumId w:val="5"/>
  </w:num>
  <w:num w:numId="6">
    <w:abstractNumId w:val="0"/>
  </w:num>
  <w:num w:numId="7">
    <w:abstractNumId w:val="1"/>
  </w:num>
  <w:num w:numId="8">
    <w:abstractNumId w:val="2"/>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3204"/>
    <w:rsid w:val="000A3285"/>
    <w:rsid w:val="000A32A0"/>
    <w:rsid w:val="000A3B96"/>
    <w:rsid w:val="000A4165"/>
    <w:rsid w:val="000A4466"/>
    <w:rsid w:val="000A448B"/>
    <w:rsid w:val="000A454C"/>
    <w:rsid w:val="000A4AD9"/>
    <w:rsid w:val="000A4F00"/>
    <w:rsid w:val="000A4F0B"/>
    <w:rsid w:val="000A4FE3"/>
    <w:rsid w:val="000A5024"/>
    <w:rsid w:val="000A5285"/>
    <w:rsid w:val="000A52CA"/>
    <w:rsid w:val="000A5747"/>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AF4"/>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D8E"/>
    <w:rsid w:val="002D3EC7"/>
    <w:rsid w:val="002D402A"/>
    <w:rsid w:val="002D4142"/>
    <w:rsid w:val="002D4329"/>
    <w:rsid w:val="002D43D9"/>
    <w:rsid w:val="002D47EF"/>
    <w:rsid w:val="002D48FF"/>
    <w:rsid w:val="002D4B7C"/>
    <w:rsid w:val="002D51E1"/>
    <w:rsid w:val="002D5CD8"/>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29D"/>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8D1"/>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FD0"/>
    <w:rsid w:val="004C20BB"/>
    <w:rsid w:val="004C24FE"/>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C8"/>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90B"/>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559"/>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826"/>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193C"/>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6D3"/>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49"/>
    <w:rsid w:val="00A87894"/>
    <w:rsid w:val="00A87A71"/>
    <w:rsid w:val="00A87BD5"/>
    <w:rsid w:val="00A87F9E"/>
    <w:rsid w:val="00A90106"/>
    <w:rsid w:val="00A9016A"/>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311"/>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A80"/>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230"/>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D7F93"/>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5D3E14"/>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2139C7"/>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694AEF"/>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qFormat/>
    <w:uiPriority w:val="0"/>
    <w:pPr>
      <w:widowControl w:val="0"/>
      <w:spacing w:before="100" w:beforeAutospacing="1" w:line="240" w:lineRule="auto"/>
      <w:ind w:left="284"/>
    </w:pPr>
    <w:rPr>
      <w:rFonts w:eastAsia="Times New Roman"/>
      <w:szCs w:val="18"/>
    </w:rPr>
  </w:style>
  <w:style w:type="paragraph" w:customStyle="1" w:styleId="93">
    <w:name w:val="TAL+B2"/>
    <w:basedOn w:val="92"/>
    <w:qFormat/>
    <w:uiPriority w:val="0"/>
    <w:pPr>
      <w:ind w:left="568"/>
    </w:pPr>
  </w:style>
  <w:style w:type="paragraph" w:customStyle="1" w:styleId="94">
    <w:name w:val="TAL+B3"/>
    <w:basedOn w:val="93"/>
    <w:qFormat/>
    <w:uiPriority w:val="0"/>
    <w:pPr>
      <w:ind w:left="852"/>
    </w:pPr>
  </w:style>
  <w:style w:type="paragraph" w:customStyle="1" w:styleId="95">
    <w:name w:val="TAL+B4"/>
    <w:basedOn w:val="94"/>
    <w:qFormat/>
    <w:uiPriority w:val="0"/>
    <w:pPr>
      <w:ind w:left="1136"/>
    </w:pPr>
  </w:style>
  <w:style w:type="paragraph" w:customStyle="1" w:styleId="96">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97">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98">
    <w:name w:val="EmailDiscussion"/>
    <w:basedOn w:val="1"/>
    <w:next w:val="97"/>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99">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0">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1">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95D7AF-1814-4580-81B3-0B01B16F2CB9}">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1710</Words>
  <Characters>9752</Characters>
  <Lines>81</Lines>
  <Paragraphs>22</Paragraphs>
  <TotalTime>1183</TotalTime>
  <ScaleCrop>false</ScaleCrop>
  <LinksUpToDate>false</LinksUpToDate>
  <CharactersWithSpaces>11440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10285891</cp:lastModifiedBy>
  <dcterms:modified xsi:type="dcterms:W3CDTF">2022-04-22T07:00:05Z</dcterms:modified>
  <cp:revision>245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